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Spacing"/>
        <w:spacing w:lineRule="auto" w:line="360"/>
        <w:ind w:left="567" w:right="1133"/>
        <w:jc w:val="center"/>
        <w:rPr>
          <w:rFonts w:ascii="Times New Roman" w:hAnsi="Times New Roman"/>
          <w:b/>
          <w:bCs/>
          <w:sz w:val="22"/>
          <w:szCs w:val="22"/>
        </w:rPr>
      </w:pPr>
      <w:r>
        <w:rPr>
          <w:rFonts w:ascii="Times New Roman" w:hAnsi="Times New Roman"/>
          <w:b/>
          <w:bCs/>
          <w:sz w:val="22"/>
          <w:szCs w:val="22"/>
        </w:rPr>
      </w:r>
    </w:p>
    <w:p>
      <w:pPr>
        <w:pStyle w:val="NoSpacing"/>
        <w:spacing w:lineRule="auto" w:line="360"/>
        <w:ind w:left="567" w:right="1133"/>
        <w:jc w:val="center"/>
        <w:rPr>
          <w:rFonts w:ascii="Times New Roman" w:hAnsi="Times New Roman"/>
          <w:b/>
          <w:bCs/>
          <w:sz w:val="22"/>
          <w:szCs w:val="22"/>
        </w:rPr>
      </w:pPr>
      <w:r>
        <w:rPr>
          <w:rFonts w:ascii="Times New Roman" w:hAnsi="Times New Roman"/>
          <w:b/>
          <w:bCs/>
          <w:sz w:val="22"/>
          <w:szCs w:val="22"/>
        </w:rPr>
        <w:t>ATTO DI TRANSAZIONE</w:t>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t xml:space="preserve">A Siracusa il giorno___________ del mese di ____________ dell’anno 2026, </w:t>
      </w:r>
    </w:p>
    <w:p>
      <w:pPr>
        <w:pStyle w:val="NoSpacing"/>
        <w:spacing w:lineRule="auto" w:line="360"/>
        <w:ind w:left="567" w:right="1133"/>
        <w:jc w:val="center"/>
        <w:rPr>
          <w:rFonts w:ascii="Times New Roman" w:hAnsi="Times New Roman"/>
          <w:sz w:val="22"/>
          <w:szCs w:val="22"/>
        </w:rPr>
      </w:pPr>
      <w:r>
        <w:rPr>
          <w:rFonts w:ascii="Times New Roman" w:hAnsi="Times New Roman"/>
          <w:b/>
          <w:sz w:val="22"/>
          <w:szCs w:val="22"/>
        </w:rPr>
        <w:t>TRA</w:t>
      </w:r>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sz w:val="22"/>
          <w:szCs w:val="22"/>
        </w:rPr>
        <w:t xml:space="preserve">I sigg.ri </w:t>
      </w:r>
      <w:r>
        <w:rPr>
          <w:rFonts w:ascii="Times New Roman" w:hAnsi="Times New Roman"/>
          <w:b/>
          <w:bCs/>
          <w:color w:val="000000"/>
          <w:sz w:val="22"/>
          <w:szCs w:val="22"/>
          <w:shd w:fill="000000" w:val="clear"/>
        </w:rPr>
        <w:t>Paolo PIZZO</w:t>
      </w:r>
      <w:r>
        <w:rPr>
          <w:rFonts w:ascii="Times New Roman" w:hAnsi="Times New Roman"/>
          <w:color w:val="000000"/>
          <w:sz w:val="22"/>
          <w:szCs w:val="22"/>
          <w:shd w:fill="000000" w:val="clear"/>
        </w:rPr>
        <w:t xml:space="preserve"> (c.f. PZZPLA55D25G267O), nato a Palazzolo Acreide (SR) il 25.4.1955, </w:t>
      </w:r>
      <w:r>
        <w:rPr>
          <w:rFonts w:ascii="Times New Roman" w:hAnsi="Times New Roman"/>
          <w:b/>
          <w:bCs/>
          <w:color w:val="000000"/>
          <w:sz w:val="22"/>
          <w:szCs w:val="22"/>
          <w:shd w:fill="000000" w:val="clear"/>
        </w:rPr>
        <w:t>Rodolfo PIZZO</w:t>
      </w:r>
      <w:r>
        <w:rPr>
          <w:rFonts w:ascii="Times New Roman" w:hAnsi="Times New Roman"/>
          <w:color w:val="000000"/>
          <w:sz w:val="22"/>
          <w:szCs w:val="22"/>
          <w:shd w:fill="000000" w:val="clear"/>
        </w:rPr>
        <w:t xml:space="preserve"> (c.f. PZZRLF47R09G267A), nato a Palazzolo Acreide (SR) il 9.10.1947, </w:t>
      </w:r>
      <w:r>
        <w:rPr>
          <w:rFonts w:ascii="Times New Roman" w:hAnsi="Times New Roman"/>
          <w:b/>
          <w:bCs/>
          <w:color w:val="000000"/>
          <w:sz w:val="22"/>
          <w:szCs w:val="22"/>
          <w:shd w:fill="000000" w:val="clear"/>
        </w:rPr>
        <w:t>Sabrina PIZZO</w:t>
      </w:r>
      <w:r>
        <w:rPr>
          <w:rFonts w:ascii="Times New Roman" w:hAnsi="Times New Roman"/>
          <w:color w:val="000000"/>
          <w:sz w:val="22"/>
          <w:szCs w:val="22"/>
          <w:shd w:fill="000000" w:val="clear"/>
        </w:rPr>
        <w:t xml:space="preserve"> (c.f.: PZZSRN80R55I754S), nata a Siracusa il 15.10.1980, e </w:t>
      </w:r>
      <w:r>
        <w:rPr>
          <w:rFonts w:ascii="Times New Roman" w:hAnsi="Times New Roman"/>
          <w:b/>
          <w:bCs/>
          <w:color w:val="000000"/>
          <w:sz w:val="22"/>
          <w:szCs w:val="22"/>
          <w:shd w:fill="000000" w:val="clear"/>
        </w:rPr>
        <w:t>Salvatore PIZZO</w:t>
      </w:r>
      <w:r>
        <w:rPr>
          <w:rFonts w:ascii="Times New Roman" w:hAnsi="Times New Roman"/>
          <w:color w:val="000000"/>
          <w:sz w:val="22"/>
          <w:szCs w:val="22"/>
          <w:shd w:fill="000000" w:val="clear"/>
        </w:rPr>
        <w:t xml:space="preserve"> (c.f. PZZSVT53R29G267X), nato a Palazzolo Acreide (SR) il 29.10.1953, </w:t>
      </w:r>
      <w:r>
        <w:rPr>
          <w:rFonts w:ascii="Times New Roman" w:hAnsi="Times New Roman"/>
          <w:sz w:val="22"/>
          <w:szCs w:val="22"/>
        </w:rPr>
        <w:t xml:space="preserve">rappresentati e difesi, con poteri disgiunti, dagli Avvocati </w:t>
      </w:r>
      <w:r>
        <w:rPr>
          <w:rFonts w:ascii="Times New Roman" w:hAnsi="Times New Roman"/>
          <w:b/>
          <w:bCs/>
          <w:sz w:val="22"/>
          <w:szCs w:val="22"/>
        </w:rPr>
        <w:t>Gianmarco Rametta</w:t>
      </w:r>
      <w:r>
        <w:rPr>
          <w:rFonts w:ascii="Times New Roman" w:hAnsi="Times New Roman"/>
          <w:sz w:val="22"/>
          <w:szCs w:val="22"/>
        </w:rPr>
        <w:t xml:space="preserve"> (c.f. RMTGMR85P10I754N) pec: gianmarco.rametta@avvocatisiracusa.legalmail.it) e </w:t>
      </w:r>
      <w:r>
        <w:rPr>
          <w:rFonts w:ascii="Times New Roman" w:hAnsi="Times New Roman"/>
          <w:b/>
          <w:bCs/>
          <w:sz w:val="22"/>
          <w:szCs w:val="22"/>
        </w:rPr>
        <w:t>Prof. Emilio S. Castorina</w:t>
      </w:r>
      <w:r>
        <w:rPr>
          <w:rFonts w:ascii="Times New Roman" w:hAnsi="Times New Roman"/>
          <w:sz w:val="22"/>
          <w:szCs w:val="22"/>
        </w:rPr>
        <w:t xml:space="preserve"> (c.f. CSTMSL63L29C351B) pec: emilio.castorina@pec.ordineavvocaticatania.it), </w:t>
      </w:r>
      <w:r>
        <w:rPr>
          <w:rFonts w:ascii="Times New Roman" w:hAnsi="Times New Roman"/>
          <w:b/>
          <w:bCs/>
          <w:sz w:val="22"/>
          <w:szCs w:val="22"/>
        </w:rPr>
        <w:t>da una parte</w:t>
      </w:r>
      <w:r>
        <w:rPr>
          <w:rFonts w:ascii="Times New Roman" w:hAnsi="Times New Roman"/>
          <w:sz w:val="22"/>
          <w:szCs w:val="22"/>
        </w:rPr>
        <w:t xml:space="preserve">; </w:t>
      </w:r>
    </w:p>
    <w:p>
      <w:pPr>
        <w:pStyle w:val="NoSpacing"/>
        <w:spacing w:lineRule="auto" w:line="360"/>
        <w:ind w:left="567" w:right="1133"/>
        <w:jc w:val="center"/>
        <w:rPr>
          <w:rFonts w:ascii="Times New Roman" w:hAnsi="Times New Roman"/>
          <w:sz w:val="22"/>
          <w:szCs w:val="22"/>
        </w:rPr>
      </w:pPr>
      <w:r>
        <w:rPr>
          <w:rFonts w:ascii="Times New Roman" w:hAnsi="Times New Roman"/>
          <w:b/>
          <w:sz w:val="22"/>
          <w:szCs w:val="22"/>
        </w:rPr>
        <w:t>E</w:t>
      </w:r>
    </w:p>
    <w:p>
      <w:pPr>
        <w:pStyle w:val="NoSpacing"/>
        <w:widowControl/>
        <w:bidi w:val="0"/>
        <w:spacing w:lineRule="auto" w:line="360" w:before="0" w:after="0"/>
        <w:ind w:hanging="0" w:left="567" w:right="0"/>
        <w:jc w:val="both"/>
        <w:rPr/>
      </w:pPr>
      <w:r>
        <w:rPr>
          <w:rFonts w:ascii="Times New Roman" w:hAnsi="Times New Roman"/>
          <w:b/>
          <w:bCs/>
          <w:sz w:val="22"/>
          <w:szCs w:val="22"/>
        </w:rPr>
        <w:t xml:space="preserve">Il Libero Consorzio Comunale di Siracusa (C.F. 80001670894) </w:t>
      </w:r>
      <w:r>
        <w:rPr>
          <w:rFonts w:ascii="Times New Roman" w:hAnsi="Times New Roman"/>
          <w:b w:val="false"/>
          <w:bCs w:val="false"/>
          <w:sz w:val="22"/>
          <w:szCs w:val="22"/>
        </w:rPr>
        <w:t>in persona del</w:t>
      </w:r>
      <w:r>
        <w:rPr>
          <w:rFonts w:ascii="Times New Roman" w:hAnsi="Times New Roman"/>
          <w:b/>
          <w:bCs/>
          <w:sz w:val="22"/>
          <w:szCs w:val="22"/>
        </w:rPr>
        <w:t xml:space="preserve">  </w:t>
      </w:r>
      <w:r>
        <w:rPr>
          <w:rFonts w:ascii="Times New Roman" w:hAnsi="Times New Roman"/>
          <w:b/>
          <w:bCs/>
          <w:sz w:val="22"/>
          <w:szCs w:val="22"/>
        </w:rPr>
        <w:t>Dott. Salvatore Ganci</w:t>
      </w:r>
      <w:r>
        <w:rPr>
          <w:rFonts w:ascii="Times New Roman" w:hAnsi="Times New Roman"/>
          <w:b w:val="false"/>
          <w:bCs w:val="false"/>
          <w:sz w:val="22"/>
          <w:szCs w:val="22"/>
        </w:rPr>
        <w:t xml:space="preserve"> n.q di </w:t>
      </w:r>
      <w:r>
        <w:rPr>
          <w:rFonts w:ascii="Times New Roman" w:hAnsi="Times New Roman"/>
          <w:b w:val="false"/>
          <w:bCs w:val="false"/>
          <w:sz w:val="22"/>
          <w:szCs w:val="22"/>
        </w:rPr>
        <w:t>Responsabile del Settore Espropriazioni</w:t>
      </w:r>
      <w:bookmarkStart w:id="0" w:name="_Hlk164185663"/>
      <w:r>
        <w:rPr>
          <w:rFonts w:ascii="Times New Roman" w:hAnsi="Times New Roman"/>
          <w:b/>
          <w:bCs/>
          <w:sz w:val="22"/>
          <w:szCs w:val="22"/>
        </w:rPr>
        <w:t xml:space="preserve">, </w:t>
      </w:r>
      <w:r>
        <w:rPr>
          <w:rFonts w:ascii="Times New Roman" w:hAnsi="Times New Roman"/>
          <w:sz w:val="22"/>
          <w:szCs w:val="22"/>
        </w:rPr>
        <w:t xml:space="preserve">assistito dal legale dell’Ente </w:t>
      </w:r>
      <w:r>
        <w:rPr>
          <w:rFonts w:ascii="Times New Roman" w:hAnsi="Times New Roman"/>
          <w:b/>
          <w:bCs/>
          <w:sz w:val="22"/>
          <w:szCs w:val="22"/>
        </w:rPr>
        <w:t>Avv. Salvatore Bianca</w:t>
      </w:r>
      <w:r>
        <w:rPr>
          <w:rFonts w:ascii="Times New Roman" w:hAnsi="Times New Roman"/>
          <w:sz w:val="22"/>
          <w:szCs w:val="22"/>
        </w:rPr>
        <w:t xml:space="preserve"> (c.f. BNCSVT53P14A522K) pec: </w:t>
      </w:r>
      <w:hyperlink r:id="rId2">
        <w:r>
          <w:rPr>
            <w:rStyle w:val="Hyperlink"/>
            <w:rFonts w:ascii="Times New Roman" w:hAnsi="Times New Roman"/>
            <w:sz w:val="22"/>
            <w:szCs w:val="22"/>
          </w:rPr>
          <w:t>avv.bianca@pec.it</w:t>
        </w:r>
      </w:hyperlink>
      <w:r>
        <w:rPr>
          <w:rFonts w:ascii="Times New Roman" w:hAnsi="Times New Roman"/>
          <w:sz w:val="22"/>
          <w:szCs w:val="22"/>
        </w:rPr>
        <w:t xml:space="preserve">, </w:t>
      </w:r>
      <w:r>
        <w:rPr>
          <w:rFonts w:ascii="Times New Roman" w:hAnsi="Times New Roman"/>
          <w:b/>
          <w:bCs/>
          <w:sz w:val="22"/>
          <w:szCs w:val="22"/>
        </w:rPr>
        <w:t>dall’altra parte</w:t>
      </w:r>
      <w:r>
        <w:rPr>
          <w:rFonts w:ascii="Times New Roman" w:hAnsi="Times New Roman"/>
          <w:sz w:val="22"/>
          <w:szCs w:val="22"/>
        </w:rPr>
        <w:t>;</w:t>
      </w:r>
      <w:bookmarkEnd w:id="0"/>
    </w:p>
    <w:p>
      <w:pPr>
        <w:pStyle w:val="NoSpacing"/>
        <w:spacing w:lineRule="auto" w:line="360"/>
        <w:ind w:left="567" w:right="1133"/>
        <w:jc w:val="center"/>
        <w:rPr>
          <w:rFonts w:ascii="Times New Roman" w:hAnsi="Times New Roman"/>
          <w:b/>
          <w:bCs/>
          <w:sz w:val="22"/>
          <w:szCs w:val="22"/>
        </w:rPr>
      </w:pPr>
      <w:r>
        <w:rPr>
          <w:rFonts w:ascii="Times New Roman" w:hAnsi="Times New Roman"/>
          <w:b/>
          <w:bCs/>
          <w:sz w:val="22"/>
          <w:szCs w:val="22"/>
        </w:rPr>
      </w:r>
    </w:p>
    <w:p>
      <w:pPr>
        <w:pStyle w:val="NoSpacing"/>
        <w:spacing w:lineRule="auto" w:line="360"/>
        <w:ind w:left="567" w:right="1133"/>
        <w:jc w:val="center"/>
        <w:rPr>
          <w:rFonts w:ascii="Times New Roman" w:hAnsi="Times New Roman"/>
          <w:sz w:val="22"/>
          <w:szCs w:val="22"/>
        </w:rPr>
      </w:pPr>
      <w:r>
        <w:rPr>
          <w:rFonts w:ascii="Times New Roman" w:hAnsi="Times New Roman"/>
          <w:b/>
          <w:bCs/>
          <w:sz w:val="22"/>
          <w:szCs w:val="22"/>
        </w:rPr>
        <w:t>PREMESSO</w:t>
      </w:r>
    </w:p>
    <w:p>
      <w:pPr>
        <w:pStyle w:val="NoSpacing"/>
        <w:spacing w:lineRule="auto" w:line="360"/>
        <w:ind w:left="567" w:right="1133"/>
        <w:jc w:val="center"/>
        <w:rPr>
          <w:rFonts w:ascii="Times New Roman" w:hAnsi="Times New Roman"/>
          <w:b/>
          <w:bCs/>
          <w:sz w:val="22"/>
          <w:szCs w:val="22"/>
        </w:rPr>
      </w:pPr>
      <w:r>
        <w:rPr>
          <w:rFonts w:ascii="Times New Roman" w:hAnsi="Times New Roman"/>
          <w:b/>
          <w:bCs/>
          <w:sz w:val="22"/>
          <w:szCs w:val="22"/>
        </w:rPr>
      </w:r>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 xml:space="preserve">Su ricorso dei </w:t>
      </w:r>
      <w:r>
        <w:rPr>
          <w:rFonts w:ascii="Times New Roman" w:hAnsi="Times New Roman"/>
          <w:bCs/>
          <w:color w:val="000000"/>
          <w:sz w:val="22"/>
          <w:szCs w:val="22"/>
          <w:shd w:fill="000000" w:val="clear"/>
        </w:rPr>
        <w:t>Sigg.ri Pizzo</w:t>
      </w:r>
      <w:r>
        <w:rPr>
          <w:rFonts w:ascii="Times New Roman" w:hAnsi="Times New Roman"/>
          <w:bCs/>
          <w:sz w:val="22"/>
          <w:szCs w:val="22"/>
          <w:shd w:fill="000000" w:val="clear"/>
        </w:rPr>
        <w:t xml:space="preserve"> </w:t>
      </w:r>
      <w:r>
        <w:rPr>
          <w:rFonts w:ascii="Times New Roman" w:hAnsi="Times New Roman"/>
          <w:bCs/>
          <w:sz w:val="22"/>
          <w:szCs w:val="22"/>
        </w:rPr>
        <w:t xml:space="preserve">il Tar Catania ha adottato la sentenza n. 1438/2019 con la quale il Libero Consorzio Comunale di Siracusa è stato ritenuto responsabile dell’occupazione del terreno di proprietà dei sigg.ri </w:t>
      </w:r>
      <w:r>
        <w:rPr>
          <w:rFonts w:ascii="Times New Roman" w:hAnsi="Times New Roman"/>
          <w:bCs/>
          <w:color w:val="111111"/>
          <w:sz w:val="22"/>
          <w:szCs w:val="22"/>
          <w:shd w:fill="111111" w:val="clear"/>
        </w:rPr>
        <w:t>Pizzo</w:t>
      </w:r>
      <w:r>
        <w:rPr>
          <w:rFonts w:ascii="Times New Roman" w:hAnsi="Times New Roman"/>
          <w:bCs/>
          <w:sz w:val="22"/>
          <w:szCs w:val="22"/>
        </w:rPr>
        <w:t>, divenuta illegittima, prevedendo la possibilità di restituire il terreno occupato o definire la conclusione del procedimento nei modi ivi precisati.</w:t>
      </w:r>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Il Tar ha sancito che il Libero Consorzio comunale di Siracusa Comune ha una triplice alternativa:</w:t>
      </w:r>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1) può fare ricorso ad un accordo transattivo che determini il definitivo trasferimento su base negoziale della proprietà dell’immobile, verso il pagamento di quanto stabilito di comune accordo con i proprietari dei terreni;</w:t>
      </w:r>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2) dovrebbe restituire i terreni illegittimamente occupati, previa riduzione in pristino stato;</w:t>
      </w:r>
    </w:p>
    <w:p>
      <w:pPr>
        <w:pStyle w:val="NoSpacing"/>
        <w:widowControl/>
        <w:tabs>
          <w:tab w:val="clear" w:pos="708"/>
          <w:tab w:val="left" w:pos="8460" w:leader="none"/>
          <w:tab w:val="left" w:pos="9645" w:leader="none"/>
          <w:tab w:val="left" w:pos="9750" w:leader="none"/>
        </w:tabs>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 xml:space="preserve">3) in alternativa, deve provvedere all'acquisizione autoritativa del bene ex art. 42 bis con effetto </w:t>
      </w:r>
      <w:r>
        <w:rPr>
          <w:rFonts w:ascii="Times New Roman" w:hAnsi="Times New Roman"/>
          <w:bCs/>
          <w:i/>
          <w:iCs/>
          <w:sz w:val="22"/>
          <w:szCs w:val="22"/>
        </w:rPr>
        <w:t>ex nunc</w:t>
      </w:r>
      <w:r>
        <w:rPr>
          <w:rFonts w:ascii="Times New Roman" w:hAnsi="Times New Roman"/>
          <w:bCs/>
          <w:sz w:val="22"/>
          <w:szCs w:val="22"/>
        </w:rPr>
        <w:t xml:space="preserve"> e con la corresponsione del necessario indennizzo, effettuando anche il doveroso risarcimento del danno per il periodo di occupazione illegittima. attraverso l’adozione del decreto di acquisizione, ex art. 42-bis T.U. espropriazioni, col riconoscimento di:</w:t>
      </w:r>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 xml:space="preserve">- un indennizzo corrispondente al valore venale dei terreni occupati al momento dell’adozione del provvedimento di acquisizione, oltre il 10% di tale </w:t>
      </w:r>
      <w:bookmarkStart w:id="1" w:name="_Hlk188818219"/>
      <w:r>
        <w:rPr>
          <w:rFonts w:ascii="Times New Roman" w:hAnsi="Times New Roman"/>
          <w:bCs/>
          <w:sz w:val="22"/>
          <w:szCs w:val="22"/>
        </w:rPr>
        <w:t>valore per il ristoro del danno non patrimoniale</w:t>
      </w:r>
      <w:bookmarkEnd w:id="1"/>
      <w:r>
        <w:rPr>
          <w:rFonts w:ascii="Times New Roman" w:hAnsi="Times New Roman"/>
          <w:bCs/>
          <w:sz w:val="22"/>
          <w:szCs w:val="22"/>
        </w:rPr>
        <w:t xml:space="preserve">, </w:t>
      </w:r>
      <w:bookmarkStart w:id="2" w:name="_Hlk89738262"/>
      <w:r>
        <w:rPr>
          <w:rFonts w:ascii="Times New Roman" w:hAnsi="Times New Roman"/>
          <w:bCs/>
          <w:sz w:val="22"/>
          <w:szCs w:val="22"/>
        </w:rPr>
        <w:t>dimezzato al 50%;</w:t>
      </w:r>
      <w:bookmarkEnd w:id="2"/>
    </w:p>
    <w:p>
      <w:pPr>
        <w:pStyle w:val="NoSpacing"/>
        <w:widowControl/>
        <w:bidi w:val="0"/>
        <w:spacing w:lineRule="auto" w:line="360" w:before="0" w:after="0"/>
        <w:ind w:hanging="0" w:left="567" w:right="0"/>
        <w:jc w:val="both"/>
        <w:rPr>
          <w:rFonts w:ascii="Times New Roman" w:hAnsi="Times New Roman"/>
          <w:sz w:val="22"/>
          <w:szCs w:val="22"/>
        </w:rPr>
      </w:pPr>
      <w:r>
        <w:rPr>
          <w:rFonts w:ascii="Times New Roman" w:hAnsi="Times New Roman"/>
          <w:bCs/>
          <w:sz w:val="22"/>
          <w:szCs w:val="22"/>
        </w:rPr>
        <w:t xml:space="preserve">- </w:t>
      </w:r>
      <w:bookmarkStart w:id="3" w:name="_Hlk188818265"/>
      <w:r>
        <w:rPr>
          <w:rFonts w:ascii="Times New Roman" w:hAnsi="Times New Roman"/>
          <w:bCs/>
          <w:sz w:val="22"/>
          <w:szCs w:val="22"/>
        </w:rPr>
        <w:t>il risarcimento per l’occupazione illegittima</w:t>
      </w:r>
      <w:bookmarkEnd w:id="3"/>
      <w:r>
        <w:rPr>
          <w:rFonts w:ascii="Times New Roman" w:hAnsi="Times New Roman"/>
          <w:bCs/>
          <w:sz w:val="22"/>
          <w:szCs w:val="22"/>
        </w:rPr>
        <w:t>, da computare con decorrenza 10 marzo 2011, nella misura dell’interesse del 5% sul valore venale dello stesso, sino al momento dell’adozione del provvedimento di acquisizione, anch’esso dimezzato al 50%.</w:t>
      </w:r>
    </w:p>
    <w:p>
      <w:pPr>
        <w:pStyle w:val="NoSpacing"/>
        <w:widowControl/>
        <w:bidi w:val="0"/>
        <w:spacing w:lineRule="auto" w:line="360" w:before="0" w:after="0"/>
        <w:ind w:hanging="0" w:left="567" w:right="-57"/>
        <w:jc w:val="both"/>
        <w:rPr>
          <w:rFonts w:ascii="Times New Roman" w:hAnsi="Times New Roman"/>
          <w:bCs/>
          <w:sz w:val="22"/>
          <w:szCs w:val="22"/>
        </w:rPr>
      </w:pPr>
      <w:r>
        <w:rPr>
          <w:rFonts w:ascii="Times New Roman" w:hAnsi="Times New Roman"/>
          <w:bCs/>
          <w:sz w:val="22"/>
          <w:szCs w:val="22"/>
        </w:rPr>
      </w:r>
    </w:p>
    <w:p>
      <w:pPr>
        <w:pStyle w:val="NoSpacing"/>
        <w:widowControl/>
        <w:bidi w:val="0"/>
        <w:spacing w:lineRule="auto" w:line="360" w:before="0" w:after="0"/>
        <w:ind w:hanging="0" w:left="567" w:right="-57"/>
        <w:jc w:val="both"/>
        <w:rPr>
          <w:rFonts w:ascii="Times New Roman" w:hAnsi="Times New Roman"/>
          <w:bCs/>
          <w:sz w:val="22"/>
          <w:szCs w:val="22"/>
        </w:rPr>
      </w:pPr>
      <w:r>
        <w:rPr>
          <w:rFonts w:ascii="Times New Roman" w:hAnsi="Times New Roman"/>
          <w:bCs/>
          <w:sz w:val="22"/>
          <w:szCs w:val="22"/>
        </w:rPr>
        <w:t>Il Libero Consorzio, con deliberazione n. 14 del 22/12/2021, ha optato per il mantenimento dell’opera, essendo già stata realizzato sul terreno un istituto scolastico e ha disposto l’acquisizione sanante del terreno e calcolato il valore dello stesso in complessivi euro 314.301,00, depositando alla Cassa Depositi e Prestiti le relative indennità risarcitorie per la complessiva somma di euro 189.246,46 detratta la somma di euro 125.054,00 riconosciuta dalla sentenza di TAR Catania, recante n. 4041, emessa in data 9.12.2024 in seno al giudizio n. 1090/2020 REG. RIC., come già corrisposta in sede di occupazione d’urgenza.</w:t>
      </w:r>
    </w:p>
    <w:p>
      <w:pPr>
        <w:pStyle w:val="NoSpacing"/>
        <w:spacing w:lineRule="auto" w:line="360"/>
        <w:ind w:left="567" w:right="1133"/>
        <w:jc w:val="both"/>
        <w:rPr>
          <w:rFonts w:ascii="Times New Roman" w:hAnsi="Times New Roman"/>
          <w:sz w:val="22"/>
          <w:szCs w:val="22"/>
        </w:rPr>
      </w:pPr>
      <w:r>
        <w:rPr>
          <w:rFonts w:ascii="Times New Roman" w:hAnsi="Times New Roman"/>
          <w:bCs/>
          <w:sz w:val="22"/>
          <w:szCs w:val="22"/>
        </w:rPr>
        <w:t xml:space="preserve">La complessiva somma di euro 189.246,46 è stata pagata come segue: </w:t>
      </w:r>
    </w:p>
    <w:p>
      <w:pPr>
        <w:pStyle w:val="NoSpacing"/>
        <w:widowControl/>
        <w:bidi w:val="0"/>
        <w:spacing w:lineRule="auto" w:line="360" w:before="0" w:after="0"/>
        <w:ind w:hanging="0" w:left="567" w:right="-113"/>
        <w:jc w:val="both"/>
        <w:rPr>
          <w:rFonts w:ascii="Times New Roman" w:hAnsi="Times New Roman"/>
          <w:sz w:val="22"/>
          <w:szCs w:val="22"/>
        </w:rPr>
      </w:pPr>
      <w:r>
        <w:rPr>
          <w:rFonts w:ascii="Times New Roman" w:hAnsi="Times New Roman"/>
          <w:bCs/>
          <w:sz w:val="22"/>
          <w:szCs w:val="22"/>
        </w:rPr>
        <w:t xml:space="preserve">- un terzo al sig. </w:t>
      </w:r>
      <w:r>
        <w:rPr>
          <w:rFonts w:ascii="Times New Roman" w:hAnsi="Times New Roman"/>
          <w:bCs/>
          <w:color w:val="000000"/>
          <w:sz w:val="22"/>
          <w:szCs w:val="22"/>
          <w:shd w:fill="111111" w:val="clear"/>
        </w:rPr>
        <w:t>PIZZO SALVATORE, C.F. PZZSVT53R29G267X</w:t>
      </w:r>
      <w:r>
        <w:rPr>
          <w:rFonts w:ascii="Times New Roman" w:hAnsi="Times New Roman"/>
          <w:bCs/>
          <w:sz w:val="22"/>
          <w:szCs w:val="22"/>
        </w:rPr>
        <w:t xml:space="preserve"> con bonifico del 24.04.2024 eseguito dalla Ragioneria di Stato di Palermo in esecuzione del pagamento disposto con ordinativo n. 376471 del 09/04/2024;</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 un terzo al sig.</w:t>
      </w:r>
      <w:r>
        <w:rPr>
          <w:rFonts w:ascii="Times New Roman" w:hAnsi="Times New Roman"/>
          <w:bCs/>
          <w:color w:val="000000"/>
          <w:sz w:val="22"/>
          <w:szCs w:val="22"/>
          <w:shd w:fill="000000" w:val="clear"/>
        </w:rPr>
        <w:t xml:space="preserve"> PIZZO PAOLO, C.F. PZZPLA55D25G267O</w:t>
      </w:r>
      <w:r>
        <w:rPr>
          <w:rFonts w:ascii="Times New Roman" w:hAnsi="Times New Roman"/>
          <w:bCs/>
          <w:color w:val="111111"/>
          <w:sz w:val="22"/>
          <w:szCs w:val="22"/>
        </w:rPr>
        <w:t xml:space="preserve"> </w:t>
      </w:r>
      <w:r>
        <w:rPr>
          <w:rFonts w:ascii="Times New Roman" w:hAnsi="Times New Roman"/>
          <w:bCs/>
          <w:sz w:val="22"/>
          <w:szCs w:val="22"/>
        </w:rPr>
        <w:t>con bonifico del 24.4.24 eseguito dalla Ragioneria di Stato di Palermo in esecuzione del pagamento disposto con ordinativo n. 376471 del 09/04/2024;</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 xml:space="preserve">- un terzo è stato fatto oggetto di pignoramento presso terzi, ex art. 72-bis e 48-bis DPR n. 602/1973 del 29.05.2024, da parte di Agenzia delle Entrate-Riscossione-Agente della riscossione per la Provincia di Siracusa cod. fisc. 13756881002 in danno del </w:t>
      </w:r>
      <w:r>
        <w:rPr>
          <w:rFonts w:ascii="Times New Roman" w:hAnsi="Times New Roman"/>
          <w:bCs/>
          <w:color w:val="000000"/>
          <w:sz w:val="22"/>
          <w:szCs w:val="22"/>
          <w:shd w:fill="000000" w:val="clear"/>
        </w:rPr>
        <w:t>sig. Pizzo Rodolfo c.f. PZZRLF47R09G267A.</w:t>
      </w:r>
    </w:p>
    <w:p>
      <w:pPr>
        <w:pStyle w:val="NoSpacing"/>
        <w:widowControl/>
        <w:bidi w:val="0"/>
        <w:spacing w:lineRule="auto" w:line="360" w:before="0" w:after="0"/>
        <w:ind w:hanging="0" w:left="567" w:right="-57"/>
        <w:jc w:val="both"/>
        <w:rPr>
          <w:rFonts w:ascii="Times New Roman" w:hAnsi="Times New Roman"/>
          <w:sz w:val="22"/>
          <w:szCs w:val="22"/>
        </w:rPr>
      </w:pPr>
      <w:r>
        <w:rPr>
          <w:rFonts w:ascii="Times New Roman" w:hAnsi="Times New Roman"/>
          <w:bCs/>
          <w:sz w:val="22"/>
          <w:szCs w:val="22"/>
        </w:rPr>
        <w:t>Avverso la determinazione del valore del terreno è stata presentata opposizione alla stima sia   dinanzi al Giudice amministrativo (Tar Catania) che dinanzi a quello ordinario (Corte di Appello di Catania) ove veniva richiesto un risarcimento complessivo di euro 7.286.250,00, oltre relativi accessori.</w:t>
      </w:r>
    </w:p>
    <w:p>
      <w:pPr>
        <w:pStyle w:val="NoSpacing"/>
        <w:widowControl/>
        <w:bidi w:val="0"/>
        <w:spacing w:lineRule="auto" w:line="360" w:before="0" w:after="0"/>
        <w:ind w:hanging="0" w:left="567" w:right="-113"/>
        <w:jc w:val="both"/>
        <w:rPr>
          <w:rFonts w:ascii="Times New Roman" w:hAnsi="Times New Roman"/>
          <w:sz w:val="22"/>
          <w:szCs w:val="22"/>
        </w:rPr>
      </w:pPr>
      <w:r>
        <w:rPr>
          <w:rFonts w:ascii="Times New Roman" w:hAnsi="Times New Roman"/>
          <w:bCs/>
          <w:sz w:val="22"/>
          <w:szCs w:val="22"/>
        </w:rPr>
        <w:t>Il Giudice civile sospendeva il procedimento sino all’esito del giudizio amministrativo.</w:t>
      </w:r>
    </w:p>
    <w:p>
      <w:pPr>
        <w:pStyle w:val="NoSpacing"/>
        <w:widowControl/>
        <w:bidi w:val="0"/>
        <w:spacing w:lineRule="auto" w:line="360" w:before="0" w:after="0"/>
        <w:ind w:hanging="0" w:left="567" w:right="-57"/>
        <w:jc w:val="both"/>
        <w:rPr>
          <w:rFonts w:ascii="Times New Roman" w:hAnsi="Times New Roman"/>
          <w:sz w:val="22"/>
          <w:szCs w:val="22"/>
        </w:rPr>
      </w:pPr>
      <w:r>
        <w:rPr>
          <w:rFonts w:ascii="Times New Roman" w:hAnsi="Times New Roman"/>
          <w:bCs/>
          <w:sz w:val="22"/>
          <w:szCs w:val="22"/>
        </w:rPr>
        <w:t xml:space="preserve">Il giudizio dinanzi al Giudice amministrativo si è concluso con sentenze nn. 7/2024 e 4041/2024 con le quali il Tar ha ritenuto sussistente la propria giurisdizione </w:t>
      </w:r>
      <w:r>
        <w:rPr>
          <w:rFonts w:ascii="Times New Roman" w:hAnsi="Times New Roman"/>
          <w:bCs/>
          <w:i/>
          <w:iCs/>
          <w:sz w:val="22"/>
          <w:szCs w:val="22"/>
        </w:rPr>
        <w:t xml:space="preserve">“per quanto attiene ai profili della decisione portata in ottemperanza che contemplino disposizioni “derogatorie” rispetto alla disciplina di cui all’art. 42-bis del D.P.R. n. 327/2001”, </w:t>
      </w:r>
      <w:r>
        <w:rPr>
          <w:rFonts w:ascii="Times New Roman" w:hAnsi="Times New Roman"/>
          <w:bCs/>
          <w:sz w:val="22"/>
          <w:szCs w:val="22"/>
        </w:rPr>
        <w:t xml:space="preserve">riservando alla </w:t>
      </w:r>
      <w:r>
        <w:rPr>
          <w:rFonts w:ascii="Times New Roman" w:hAnsi="Times New Roman"/>
          <w:bCs/>
          <w:i/>
          <w:iCs/>
          <w:sz w:val="22"/>
          <w:szCs w:val="22"/>
        </w:rPr>
        <w:t>“Corte di Appello quale giudice ordinario la determinazione del valore monetario delle aree fatte oggetto di acquisizione sanante in forza della predetta delibera  n. 14 del 22/12/2021, ciò al fine di determinare le indennità di cui all’art. 42-bis del D.P.R. 327/2001”</w:t>
      </w:r>
      <w:r>
        <w:rPr>
          <w:rFonts w:ascii="Times New Roman" w:hAnsi="Times New Roman"/>
          <w:bCs/>
          <w:sz w:val="22"/>
          <w:szCs w:val="22"/>
        </w:rPr>
        <w:t xml:space="preserve">. </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 xml:space="preserve">I </w:t>
      </w:r>
      <w:r>
        <w:rPr>
          <w:rFonts w:ascii="Times New Roman" w:hAnsi="Times New Roman"/>
          <w:bCs/>
          <w:color w:val="000000"/>
          <w:sz w:val="22"/>
          <w:szCs w:val="22"/>
          <w:shd w:fill="111111" w:val="clear"/>
        </w:rPr>
        <w:t>sigg.ri Pizzo</w:t>
      </w:r>
      <w:r>
        <w:rPr>
          <w:rFonts w:ascii="Times New Roman" w:hAnsi="Times New Roman"/>
          <w:bCs/>
          <w:sz w:val="22"/>
          <w:szCs w:val="22"/>
        </w:rPr>
        <w:t xml:space="preserve"> hanno quindi presentato un ricorso per riassunzione della prima opposizione dinanzi alla Corte di Appello di Catania, notificato il 22 aprile 2024, ed un nuovo ricorso di riproposizione dell’opposizione alla stima, notificato il 19 aprile 2024.</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 xml:space="preserve">Quest’ultimo ricorso, distinto col n. 456/24 R.G. è stato riunito al primo ricorso di opposizione alla stima n. 173/2022 R.G. e la Corte di Appello di Catania, nei due giudizi riuniti, ha   nominato CTU </w:t>
      </w:r>
      <w:r>
        <w:rPr>
          <w:rFonts w:ascii="Times New Roman" w:hAnsi="Times New Roman"/>
          <w:b w:val="false"/>
          <w:bCs w:val="false"/>
          <w:sz w:val="22"/>
          <w:szCs w:val="22"/>
        </w:rPr>
        <w:t>l’ing. Alessandro Paternò Raddusa con l’incarico di determinare le indennità dovute ai ricorrenti ex art. 42 bis del D.P.R. 327/2001.</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Giova precisare che nelle more, per la registrazione della sentenza del Tar, l’Agenzia delle Entrate ha calcolato l’imposta del 3% su una base imponibile di € 1.473.250,00 e che avverso l’avviso di liquidazione di tale imposta di registro il Libero Consorzio si è opposto dinanzi al Giudice Tributario.</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Il CTU ha determinato in euro 583.069,10 il valore venale del bene oggetto di acquisizione sanante a cui ha aggiunto il valore del danno non patrimoniale e quello da occupazione illegittima e così complessivamente euro 768.922,37, da cui detrarre la somma di euro 314.301,00, determinata dall’Ente e già pagata nei modi e forme di cui sopra, oltre interessi sino al soddisfo.</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Cs/>
          <w:sz w:val="22"/>
          <w:szCs w:val="22"/>
        </w:rPr>
        <w:t xml:space="preserve">I </w:t>
      </w:r>
      <w:r>
        <w:rPr>
          <w:rFonts w:ascii="Times New Roman" w:hAnsi="Times New Roman"/>
          <w:bCs/>
          <w:color w:val="111111"/>
          <w:sz w:val="22"/>
          <w:szCs w:val="22"/>
          <w:shd w:fill="111111" w:val="clear"/>
        </w:rPr>
        <w:t xml:space="preserve">sigg. ri Pizzo </w:t>
      </w:r>
      <w:r>
        <w:rPr>
          <w:rFonts w:ascii="Times New Roman" w:hAnsi="Times New Roman"/>
          <w:bCs/>
          <w:sz w:val="22"/>
          <w:szCs w:val="22"/>
        </w:rPr>
        <w:t>ritengono inesatta la valutazione del valore venale del terreno determinato in €/mq 47.00, tuttavia si sono dichiarati disponibile a chiudere bonariamente la controversia per complessivi euro 700.000,00, di cui 38.000,00 a titolo di spese legali.</w:t>
      </w:r>
    </w:p>
    <w:p>
      <w:pPr>
        <w:pStyle w:val="NoSpacing"/>
        <w:widowControl/>
        <w:bidi w:val="0"/>
        <w:spacing w:lineRule="auto" w:line="360" w:before="0" w:after="0"/>
        <w:ind w:hanging="0" w:left="567" w:right="-227"/>
        <w:jc w:val="both"/>
        <w:rPr>
          <w:rFonts w:ascii="Times New Roman" w:hAnsi="Times New Roman"/>
          <w:sz w:val="22"/>
          <w:szCs w:val="22"/>
        </w:rPr>
      </w:pPr>
      <w:r>
        <w:rPr>
          <w:rFonts w:ascii="Times New Roman" w:hAnsi="Times New Roman"/>
          <w:bCs/>
          <w:sz w:val="22"/>
          <w:szCs w:val="22"/>
        </w:rPr>
        <w:t>Il Libero Consorzio da parte sua ritiene che la somma determinata con la deliberazione di acquisizione sanante n. 14/2021 sia congrua e rispecchi il valore di mercato del terreno espropriato.</w:t>
      </w:r>
    </w:p>
    <w:p>
      <w:pPr>
        <w:pStyle w:val="NoSpacing"/>
        <w:widowControl/>
        <w:bidi w:val="0"/>
        <w:spacing w:lineRule="auto" w:line="360" w:before="0" w:after="0"/>
        <w:ind w:hanging="0" w:left="567" w:right="-227"/>
        <w:jc w:val="both"/>
        <w:rPr>
          <w:rFonts w:ascii="Times New Roman" w:hAnsi="Times New Roman"/>
          <w:sz w:val="22"/>
          <w:szCs w:val="22"/>
        </w:rPr>
      </w:pPr>
      <w:r>
        <w:rPr>
          <w:rFonts w:ascii="Times New Roman" w:hAnsi="Times New Roman"/>
          <w:bCs/>
          <w:sz w:val="22"/>
          <w:szCs w:val="22"/>
        </w:rPr>
        <w:t>Tuttavia le parti concordemente ritengono di transigere entrambi i giudizi riuniti per la complessiva somma di euro 488.000,00, di cui 450.000,00 per sorte capitale ed accessori oltre 38.000,00 a titolo di contributo per spese legali e che la predetta somma complessiva di euro 488.000,00 comprese pure le spese di registrazione della sentenza ed ogni altro accessorio (interessi legali, spese del CTU, IVA se dovuta, e qualsiasi altra spesa) potrebbe essere pagata entro il 10 aprile 2026.</w:t>
      </w:r>
    </w:p>
    <w:p>
      <w:pPr>
        <w:pStyle w:val="NoSpacing"/>
        <w:widowControl/>
        <w:bidi w:val="0"/>
        <w:spacing w:lineRule="auto" w:line="360" w:before="0" w:after="0"/>
        <w:ind w:hanging="0" w:left="567" w:right="-170"/>
        <w:jc w:val="both"/>
        <w:rPr>
          <w:rFonts w:ascii="Times New Roman" w:hAnsi="Times New Roman"/>
          <w:sz w:val="22"/>
          <w:szCs w:val="22"/>
        </w:rPr>
      </w:pPr>
      <w:r>
        <w:rPr>
          <w:rFonts w:ascii="Times New Roman" w:hAnsi="Times New Roman"/>
          <w:b/>
          <w:bCs/>
          <w:sz w:val="22"/>
          <w:szCs w:val="22"/>
        </w:rPr>
        <w:t xml:space="preserve">Tanto premesso e ritenuto le parti, come sopra costituite, convengono, quanto segue: </w:t>
      </w:r>
    </w:p>
    <w:p>
      <w:pPr>
        <w:pStyle w:val="NoSpacing"/>
        <w:widowControl/>
        <w:bidi w:val="0"/>
        <w:spacing w:lineRule="auto" w:line="360" w:before="0" w:after="0"/>
        <w:ind w:hanging="0" w:left="567" w:right="-283"/>
        <w:jc w:val="both"/>
        <w:rPr>
          <w:rFonts w:ascii="Times New Roman" w:hAnsi="Times New Roman"/>
          <w:sz w:val="22"/>
          <w:szCs w:val="22"/>
        </w:rPr>
      </w:pPr>
      <w:r>
        <w:rPr>
          <w:rFonts w:ascii="Times New Roman" w:hAnsi="Times New Roman"/>
          <w:b/>
          <w:sz w:val="22"/>
          <w:szCs w:val="22"/>
        </w:rPr>
        <w:t xml:space="preserve">1. </w:t>
      </w:r>
      <w:r>
        <w:rPr>
          <w:rFonts w:ascii="Times New Roman" w:hAnsi="Times New Roman"/>
          <w:bCs/>
          <w:sz w:val="22"/>
          <w:szCs w:val="22"/>
        </w:rPr>
        <w:t xml:space="preserve">Il Libero Consorzio Comunale di Siracusa offre transattivamente ai sigg.ri </w:t>
      </w:r>
      <w:r>
        <w:rPr>
          <w:rFonts w:ascii="Times New Roman" w:hAnsi="Times New Roman"/>
          <w:bCs/>
          <w:color w:val="111111"/>
          <w:sz w:val="22"/>
          <w:szCs w:val="22"/>
          <w:shd w:fill="111111" w:val="clear"/>
        </w:rPr>
        <w:t>Pizzo</w:t>
      </w:r>
      <w:r>
        <w:rPr>
          <w:rFonts w:ascii="Times New Roman" w:hAnsi="Times New Roman"/>
          <w:bCs/>
          <w:sz w:val="22"/>
          <w:szCs w:val="22"/>
        </w:rPr>
        <w:t xml:space="preserve"> la somma onnicomprensiva di € 488.000,00, da corrispondersi entro il termine essenziale di 10 aprile 2026, mediante bonifici bancari così suddivisi:</w:t>
      </w:r>
    </w:p>
    <w:p>
      <w:pPr>
        <w:pStyle w:val="NoSpacing"/>
        <w:widowControl/>
        <w:bidi w:val="0"/>
        <w:spacing w:lineRule="auto" w:line="360" w:before="0" w:after="0"/>
        <w:ind w:hanging="0" w:left="567" w:right="-340"/>
        <w:jc w:val="both"/>
        <w:rPr>
          <w:rFonts w:ascii="Times New Roman" w:hAnsi="Times New Roman"/>
          <w:sz w:val="22"/>
          <w:szCs w:val="22"/>
        </w:rPr>
      </w:pPr>
      <w:r>
        <w:rPr>
          <w:rFonts w:ascii="Times New Roman" w:hAnsi="Times New Roman"/>
          <w:bCs/>
          <w:sz w:val="22"/>
          <w:szCs w:val="22"/>
        </w:rPr>
        <w:t xml:space="preserve">- euro 162.666,66 (euro centossantaduemilaseicentosessantasei/66) in favore di </w:t>
      </w:r>
      <w:r>
        <w:rPr>
          <w:rFonts w:ascii="Times New Roman" w:hAnsi="Times New Roman"/>
          <w:bCs/>
          <w:color w:val="111111"/>
          <w:sz w:val="22"/>
          <w:szCs w:val="22"/>
          <w:shd w:fill="111111" w:val="clear"/>
        </w:rPr>
        <w:t>Pizzo Salvatore</w:t>
      </w:r>
      <w:r>
        <w:rPr>
          <w:rFonts w:ascii="Times New Roman" w:hAnsi="Times New Roman"/>
          <w:bCs/>
          <w:sz w:val="22"/>
          <w:szCs w:val="22"/>
        </w:rPr>
        <w:t xml:space="preserve"> a mezzo bonifico sul conto in potere dello stesso accesso presso Banca Intesa San Paolo recante le seguenti coordinate</w:t>
      </w:r>
      <w:r>
        <w:rPr>
          <w:rFonts w:ascii="Times New Roman" w:hAnsi="Times New Roman"/>
          <w:bCs/>
          <w:color w:val="111111"/>
          <w:sz w:val="22"/>
          <w:szCs w:val="22"/>
          <w:shd w:fill="111111" w:val="clear"/>
        </w:rPr>
        <w:t xml:space="preserve"> IBAN: IT76P0306917100100000006563</w:t>
      </w:r>
    </w:p>
    <w:p>
      <w:pPr>
        <w:pStyle w:val="NoSpacing"/>
        <w:widowControl/>
        <w:bidi w:val="0"/>
        <w:spacing w:lineRule="auto" w:line="360" w:before="0" w:after="0"/>
        <w:ind w:hanging="0" w:left="567" w:right="-340"/>
        <w:jc w:val="both"/>
        <w:rPr>
          <w:rFonts w:ascii="Times New Roman" w:hAnsi="Times New Roman"/>
          <w:sz w:val="22"/>
          <w:szCs w:val="22"/>
        </w:rPr>
      </w:pPr>
      <w:r>
        <w:rPr>
          <w:rFonts w:ascii="Times New Roman" w:hAnsi="Times New Roman"/>
          <w:bCs/>
          <w:sz w:val="22"/>
          <w:szCs w:val="22"/>
        </w:rPr>
        <w:t xml:space="preserve">-  euro 162.666,66(euro centossantaduemilaseicentosessantasei/66) in favore di </w:t>
      </w:r>
      <w:r>
        <w:rPr>
          <w:rFonts w:ascii="Times New Roman" w:hAnsi="Times New Roman"/>
          <w:bCs/>
          <w:color w:val="111111"/>
          <w:sz w:val="22"/>
          <w:szCs w:val="22"/>
          <w:shd w:fill="111111" w:val="clear"/>
        </w:rPr>
        <w:t>Pizzo Paolo</w:t>
      </w:r>
      <w:r>
        <w:rPr>
          <w:rFonts w:ascii="Times New Roman" w:hAnsi="Times New Roman"/>
          <w:bCs/>
          <w:sz w:val="22"/>
          <w:szCs w:val="22"/>
        </w:rPr>
        <w:t xml:space="preserve"> a mezzo bonifico sul conto in potere dello stesso accesso presso Santander recante le seguenti coordinate</w:t>
      </w:r>
      <w:r>
        <w:rPr>
          <w:rFonts w:ascii="Times New Roman" w:hAnsi="Times New Roman"/>
          <w:bCs/>
          <w:color w:val="111111"/>
          <w:sz w:val="22"/>
          <w:szCs w:val="22"/>
          <w:shd w:fill="111111" w:val="clear"/>
        </w:rPr>
        <w:t xml:space="preserve"> IBAN: PT50 0018 000349462336020 78 e BIC/SWIFT: TOTAPTPL;</w:t>
      </w:r>
    </w:p>
    <w:p>
      <w:pPr>
        <w:pStyle w:val="NoSpacing"/>
        <w:widowControl/>
        <w:bidi w:val="0"/>
        <w:spacing w:lineRule="auto" w:line="360" w:before="0" w:after="0"/>
        <w:ind w:hanging="0" w:left="567" w:right="-340"/>
        <w:jc w:val="both"/>
        <w:rPr>
          <w:rFonts w:ascii="Times New Roman" w:hAnsi="Times New Roman"/>
          <w:sz w:val="22"/>
          <w:szCs w:val="22"/>
        </w:rPr>
      </w:pPr>
      <w:r>
        <w:rPr>
          <w:rFonts w:ascii="Times New Roman" w:hAnsi="Times New Roman"/>
          <w:bCs/>
          <w:sz w:val="22"/>
          <w:szCs w:val="22"/>
        </w:rPr>
        <w:t xml:space="preserve">-  euro 162.666,66(euro centossantaduemilaseicentosessantasei/66) in favore di </w:t>
      </w:r>
      <w:r>
        <w:rPr>
          <w:rFonts w:ascii="Times New Roman" w:hAnsi="Times New Roman"/>
          <w:bCs/>
          <w:color w:val="111111"/>
          <w:sz w:val="22"/>
          <w:szCs w:val="22"/>
          <w:shd w:fill="111111" w:val="clear"/>
        </w:rPr>
        <w:t>Pizzo Sabrina</w:t>
      </w:r>
      <w:r>
        <w:rPr>
          <w:rFonts w:ascii="Times New Roman" w:hAnsi="Times New Roman"/>
          <w:bCs/>
          <w:sz w:val="22"/>
          <w:szCs w:val="22"/>
        </w:rPr>
        <w:t xml:space="preserve"> a mezzo bonifico sul conto in potere dello stesso accesso presso Poste Italiane recante le seguenti coordinate </w:t>
      </w:r>
      <w:r>
        <w:rPr>
          <w:rFonts w:ascii="Times New Roman" w:hAnsi="Times New Roman"/>
          <w:bCs/>
          <w:color w:val="111111"/>
          <w:sz w:val="22"/>
          <w:szCs w:val="22"/>
          <w:shd w:fill="111111" w:val="clear"/>
        </w:rPr>
        <w:t>IBAN:  IT84F0760117100001019224433</w:t>
      </w:r>
      <w:r>
        <w:rPr>
          <w:rFonts w:ascii="Times New Roman" w:hAnsi="Times New Roman"/>
          <w:bCs/>
          <w:sz w:val="22"/>
          <w:szCs w:val="22"/>
        </w:rPr>
        <w:t>;</w:t>
      </w:r>
    </w:p>
    <w:p>
      <w:pPr>
        <w:pStyle w:val="NoSpacing"/>
        <w:widowControl/>
        <w:bidi w:val="0"/>
        <w:spacing w:lineRule="auto" w:line="360" w:before="0" w:after="0"/>
        <w:ind w:hanging="0" w:left="567" w:right="-340"/>
        <w:jc w:val="both"/>
        <w:rPr>
          <w:rFonts w:ascii="Times New Roman" w:hAnsi="Times New Roman"/>
          <w:sz w:val="22"/>
          <w:szCs w:val="22"/>
        </w:rPr>
      </w:pPr>
      <w:r>
        <w:rPr>
          <w:rFonts w:ascii="Times New Roman" w:hAnsi="Times New Roman"/>
          <w:b/>
          <w:sz w:val="22"/>
          <w:szCs w:val="22"/>
        </w:rPr>
        <w:t>2.</w:t>
      </w:r>
      <w:r>
        <w:rPr>
          <w:rFonts w:ascii="Times New Roman" w:hAnsi="Times New Roman"/>
          <w:bCs/>
          <w:sz w:val="22"/>
          <w:szCs w:val="22"/>
        </w:rPr>
        <w:t xml:space="preserve"> Con il pagamento integrale della somma sopra convenuta i </w:t>
      </w:r>
      <w:r>
        <w:rPr>
          <w:rFonts w:ascii="Times New Roman" w:hAnsi="Times New Roman"/>
          <w:bCs/>
          <w:color w:val="111111"/>
          <w:sz w:val="22"/>
          <w:szCs w:val="22"/>
          <w:shd w:fill="111111" w:val="clear"/>
        </w:rPr>
        <w:t>Sigg.ri Pizzo Paolo, Rodolfo, Salvatore e Sabrina</w:t>
      </w:r>
      <w:r>
        <w:rPr>
          <w:rFonts w:ascii="Times New Roman" w:hAnsi="Times New Roman"/>
          <w:bCs/>
          <w:sz w:val="22"/>
          <w:szCs w:val="22"/>
        </w:rPr>
        <w:t xml:space="preserve"> dichiarano ora per allora che non avranno null’altro ad avere e/o pretendere a tacitazione definitiva sia di tutte le domande e pretese formulate dalle stesse nei giudizi di cui in premessa, sia di ogni altra eventuale pretesa di credito coltivata nei confronti dell’Ente Locale, ancorché sin qui non espressa ma relativa alla questione di che trattasi. </w:t>
      </w:r>
    </w:p>
    <w:p>
      <w:pPr>
        <w:pStyle w:val="NoSpacing"/>
        <w:widowControl/>
        <w:bidi w:val="0"/>
        <w:spacing w:lineRule="auto" w:line="360" w:before="0" w:after="0"/>
        <w:ind w:hanging="0" w:left="567" w:right="-397"/>
        <w:jc w:val="both"/>
        <w:rPr>
          <w:rFonts w:ascii="Times New Roman" w:hAnsi="Times New Roman"/>
          <w:sz w:val="22"/>
          <w:szCs w:val="22"/>
        </w:rPr>
      </w:pPr>
      <w:r>
        <w:rPr>
          <w:rFonts w:ascii="Times New Roman" w:hAnsi="Times New Roman"/>
          <w:bCs/>
          <w:sz w:val="22"/>
          <w:szCs w:val="22"/>
        </w:rPr>
        <w:t xml:space="preserve">Ricevuto il pagamento integrale della somma transatta, i Sigg.ri </w:t>
      </w:r>
      <w:r>
        <w:rPr>
          <w:rFonts w:ascii="Times New Roman" w:hAnsi="Times New Roman"/>
          <w:bCs/>
          <w:color w:val="111111"/>
          <w:sz w:val="22"/>
          <w:szCs w:val="22"/>
          <w:shd w:fill="111111" w:val="clear"/>
        </w:rPr>
        <w:t>Pizzo Paolo, Rodolfo, Salvatore e Sabrina</w:t>
      </w:r>
      <w:r>
        <w:rPr>
          <w:rFonts w:ascii="Times New Roman" w:hAnsi="Times New Roman"/>
          <w:bCs/>
          <w:sz w:val="22"/>
          <w:szCs w:val="22"/>
        </w:rPr>
        <w:t xml:space="preserve"> dichiarano che tale somma è corrisposta a saldo e stralcio di qualsiasi altro onere, anche sopravvenuto, ivi comprese spese legali ed i compensi del CTU ing. Paternò Raddusa.</w:t>
      </w:r>
    </w:p>
    <w:p>
      <w:pPr>
        <w:pStyle w:val="NoSpacing"/>
        <w:widowControl/>
        <w:tabs>
          <w:tab w:val="clear" w:pos="708"/>
          <w:tab w:val="left" w:pos="10035" w:leader="none"/>
        </w:tabs>
        <w:bidi w:val="0"/>
        <w:spacing w:lineRule="auto" w:line="360" w:before="0" w:after="0"/>
        <w:ind w:hanging="0" w:left="567" w:right="-397"/>
        <w:jc w:val="both"/>
        <w:rPr>
          <w:rFonts w:ascii="Times New Roman" w:hAnsi="Times New Roman"/>
          <w:sz w:val="22"/>
          <w:szCs w:val="22"/>
        </w:rPr>
      </w:pPr>
      <w:r>
        <w:rPr>
          <w:rFonts w:ascii="Times New Roman" w:hAnsi="Times New Roman"/>
          <w:bCs/>
          <w:sz w:val="22"/>
          <w:szCs w:val="22"/>
        </w:rPr>
        <w:t>Ricevuto il pagamento integrale della somma transatta, quanto alle spese di registrazione della sentenza del Tar Catania n. 1438/2019, nell’ipotesi in cui i sig.ri</w:t>
      </w:r>
      <w:r>
        <w:rPr>
          <w:rFonts w:ascii="Times New Roman" w:hAnsi="Times New Roman"/>
          <w:bCs/>
          <w:color w:val="111111"/>
          <w:sz w:val="22"/>
          <w:szCs w:val="22"/>
          <w:shd w:fill="111111" w:val="clear"/>
        </w:rPr>
        <w:t xml:space="preserve"> Pizzo </w:t>
      </w:r>
      <w:r>
        <w:rPr>
          <w:rFonts w:ascii="Times New Roman" w:hAnsi="Times New Roman"/>
          <w:bCs/>
          <w:sz w:val="22"/>
          <w:szCs w:val="22"/>
        </w:rPr>
        <w:t xml:space="preserve">fossero costretti a pagare tale tassa, nonostante la loro impugnazione avverso la relativa cartella, la tassa medesima rimarrà definitivamente a loro carico, non avendo titolo per ripeterla in danno del Libero Consorzio Comunale di Siracusa; nell’ipotesi in cui il Libero Consorzio Comunale di Siracusa, malgrado il ricorso proposto, fosse costretto al pagamento della suddetta tassa di registro, a semplice richiesta, dietro esibizione della prova del pagamento, i Sigg.ri </w:t>
      </w:r>
      <w:r>
        <w:rPr>
          <w:rFonts w:ascii="Times New Roman" w:hAnsi="Times New Roman"/>
          <w:bCs/>
          <w:color w:val="111111"/>
          <w:sz w:val="22"/>
          <w:szCs w:val="22"/>
          <w:shd w:fill="111111" w:val="clear"/>
        </w:rPr>
        <w:t>Pizzo Paolo, Rodolfo, Salvatore e Sabrina</w:t>
      </w:r>
      <w:r>
        <w:rPr>
          <w:rFonts w:ascii="Times New Roman" w:hAnsi="Times New Roman"/>
          <w:bCs/>
          <w:sz w:val="22"/>
          <w:szCs w:val="22"/>
        </w:rPr>
        <w:t xml:space="preserve"> si obbligano solidalmente a rimborsare il relativo importo al Libero Consorzio Comunale di Siracusa.</w:t>
      </w:r>
    </w:p>
    <w:p>
      <w:pPr>
        <w:pStyle w:val="NoSpacing"/>
        <w:spacing w:lineRule="auto" w:line="360"/>
        <w:ind w:left="567" w:right="1133"/>
        <w:jc w:val="both"/>
        <w:rPr>
          <w:rFonts w:ascii="Times New Roman" w:hAnsi="Times New Roman"/>
          <w:sz w:val="22"/>
          <w:szCs w:val="22"/>
        </w:rPr>
      </w:pPr>
      <w:r>
        <w:rPr>
          <w:rFonts w:ascii="Times New Roman" w:hAnsi="Times New Roman"/>
          <w:b/>
          <w:sz w:val="22"/>
          <w:szCs w:val="22"/>
        </w:rPr>
        <w:t>3.</w:t>
      </w:r>
      <w:r>
        <w:rPr>
          <w:rFonts w:ascii="Times New Roman" w:hAnsi="Times New Roman"/>
          <w:bCs/>
          <w:sz w:val="22"/>
          <w:szCs w:val="22"/>
        </w:rPr>
        <w:t xml:space="preserve"> La presente transazione non ha efficacia novativa.</w:t>
      </w:r>
    </w:p>
    <w:p>
      <w:pPr>
        <w:pStyle w:val="NoSpacing"/>
        <w:widowControl/>
        <w:bidi w:val="0"/>
        <w:spacing w:lineRule="auto" w:line="360" w:before="0" w:after="0"/>
        <w:ind w:hanging="0" w:left="567" w:right="-454"/>
        <w:jc w:val="both"/>
        <w:rPr>
          <w:rFonts w:ascii="Times New Roman" w:hAnsi="Times New Roman"/>
          <w:sz w:val="22"/>
          <w:szCs w:val="22"/>
        </w:rPr>
      </w:pPr>
      <w:r>
        <w:rPr>
          <w:rFonts w:ascii="Times New Roman" w:hAnsi="Times New Roman"/>
          <w:bCs/>
          <w:sz w:val="22"/>
          <w:szCs w:val="22"/>
        </w:rPr>
        <w:t xml:space="preserve">Decorsi il 10 aprile 2026, termine questo essenziale nell’interesse dei signori </w:t>
      </w:r>
      <w:r>
        <w:rPr>
          <w:rFonts w:ascii="Times New Roman" w:hAnsi="Times New Roman"/>
          <w:bCs/>
          <w:color w:val="111111"/>
          <w:sz w:val="22"/>
          <w:szCs w:val="22"/>
          <w:shd w:fill="111111" w:val="clear"/>
        </w:rPr>
        <w:t>Pizzo</w:t>
      </w:r>
      <w:r>
        <w:rPr>
          <w:rFonts w:ascii="Times New Roman" w:hAnsi="Times New Roman"/>
          <w:bCs/>
          <w:sz w:val="22"/>
          <w:szCs w:val="22"/>
        </w:rPr>
        <w:t xml:space="preserve">, senza che il Libero Consorzio Comunale di Siracusa abbia provveduto ai pagamenti del superiore punto 1), la presente transazione si intenderà automaticamente risolta e/o comunque priva di ogni efficacia tra le parti ed i due giudizi potranno essere ulteriormente coltivati sino alla naturale decisione giudiziale. </w:t>
      </w:r>
    </w:p>
    <w:p>
      <w:pPr>
        <w:pStyle w:val="NoSpacing"/>
        <w:widowControl/>
        <w:bidi w:val="0"/>
        <w:spacing w:lineRule="auto" w:line="360" w:before="0" w:after="0"/>
        <w:ind w:hanging="0" w:left="567" w:right="-397"/>
        <w:jc w:val="both"/>
        <w:rPr>
          <w:rFonts w:ascii="Times New Roman" w:hAnsi="Times New Roman"/>
          <w:sz w:val="22"/>
          <w:szCs w:val="22"/>
        </w:rPr>
      </w:pPr>
      <w:r>
        <w:rPr>
          <w:rFonts w:ascii="Times New Roman" w:hAnsi="Times New Roman"/>
          <w:b/>
          <w:sz w:val="22"/>
          <w:szCs w:val="22"/>
        </w:rPr>
        <w:t>4.</w:t>
      </w:r>
      <w:r>
        <w:rPr>
          <w:rFonts w:ascii="Times New Roman" w:hAnsi="Times New Roman"/>
          <w:bCs/>
          <w:sz w:val="22"/>
          <w:szCs w:val="22"/>
        </w:rPr>
        <w:t xml:space="preserve"> Qualora, invece, il pagamento della somma transatta dovesse essere effettuato entro il termine essenziale di cui sopra, le parti convengono di estinguere i giudizi riuniti, rinviati per la decisione all’udienza del 12 giugno 2026, pendenti davanti alla Corte di Appello di Catania col n. 173/2022, ai sensi del combinato disposto degli artt. 309 e seguenti c.p.c., non coltivandoli fino alla loro estinzione.</w:t>
      </w:r>
    </w:p>
    <w:p>
      <w:pPr>
        <w:pStyle w:val="NoSpacing"/>
        <w:widowControl/>
        <w:bidi w:val="0"/>
        <w:spacing w:lineRule="auto" w:line="360" w:before="0" w:after="0"/>
        <w:ind w:hanging="0" w:left="567" w:right="-454"/>
        <w:jc w:val="both"/>
        <w:rPr>
          <w:rFonts w:ascii="Times New Roman" w:hAnsi="Times New Roman"/>
          <w:sz w:val="22"/>
          <w:szCs w:val="22"/>
        </w:rPr>
      </w:pPr>
      <w:r>
        <w:rPr>
          <w:rFonts w:ascii="Times New Roman" w:hAnsi="Times New Roman"/>
          <w:b/>
          <w:sz w:val="22"/>
          <w:szCs w:val="22"/>
        </w:rPr>
        <w:t>5.</w:t>
      </w:r>
      <w:r>
        <w:rPr>
          <w:rFonts w:ascii="Times New Roman" w:hAnsi="Times New Roman"/>
          <w:bCs/>
          <w:sz w:val="22"/>
          <w:szCs w:val="22"/>
        </w:rPr>
        <w:t xml:space="preserve"> Le spese per l’eventuale registrazione della presente transazione vengono poste a carico della parte inadempiente.</w:t>
      </w:r>
    </w:p>
    <w:p>
      <w:pPr>
        <w:pStyle w:val="NoSpacing"/>
        <w:widowControl/>
        <w:bidi w:val="0"/>
        <w:spacing w:lineRule="auto" w:line="360" w:before="0" w:after="0"/>
        <w:ind w:hanging="0" w:left="567" w:right="-454"/>
        <w:jc w:val="both"/>
        <w:rPr>
          <w:rFonts w:ascii="Times New Roman" w:hAnsi="Times New Roman"/>
          <w:sz w:val="22"/>
          <w:szCs w:val="22"/>
        </w:rPr>
      </w:pPr>
      <w:r>
        <w:rPr>
          <w:rFonts w:ascii="Times New Roman" w:hAnsi="Times New Roman"/>
          <w:bCs/>
          <w:sz w:val="22"/>
          <w:szCs w:val="22"/>
        </w:rPr>
        <w:t>Nell’ipotesi in cui la presente transazione fosse oggetto di registrazione d’ufficio, la stessa verrà posta a carico di entrambe le parti nella misura del 50% ciascuno.</w:t>
      </w:r>
    </w:p>
    <w:p>
      <w:pPr>
        <w:pStyle w:val="NoSpacing"/>
        <w:widowControl/>
        <w:bidi w:val="0"/>
        <w:spacing w:lineRule="auto" w:line="360" w:before="0" w:after="0"/>
        <w:ind w:hanging="0" w:left="567" w:right="-454"/>
        <w:jc w:val="both"/>
        <w:rPr>
          <w:rFonts w:ascii="Times New Roman" w:hAnsi="Times New Roman"/>
          <w:sz w:val="22"/>
          <w:szCs w:val="22"/>
        </w:rPr>
      </w:pPr>
      <w:r>
        <w:rPr>
          <w:rFonts w:ascii="Times New Roman" w:hAnsi="Times New Roman"/>
          <w:b/>
          <w:sz w:val="22"/>
          <w:szCs w:val="22"/>
        </w:rPr>
        <w:t>6.</w:t>
      </w:r>
      <w:r>
        <w:rPr>
          <w:rFonts w:ascii="Times New Roman" w:hAnsi="Times New Roman"/>
          <w:bCs/>
          <w:sz w:val="22"/>
          <w:szCs w:val="22"/>
        </w:rPr>
        <w:t xml:space="preserve"> Gli avvocati Prof. Emilio S. Castorina e Gianmarco Rametta per i sigg.ri </w:t>
      </w:r>
      <w:r>
        <w:rPr>
          <w:rFonts w:ascii="Times New Roman" w:hAnsi="Times New Roman"/>
          <w:bCs/>
          <w:color w:val="111111"/>
          <w:sz w:val="22"/>
          <w:szCs w:val="22"/>
          <w:shd w:fill="111111" w:val="clear"/>
        </w:rPr>
        <w:t>Pizzo</w:t>
      </w:r>
      <w:r>
        <w:rPr>
          <w:rFonts w:ascii="Times New Roman" w:hAnsi="Times New Roman"/>
          <w:bCs/>
          <w:sz w:val="22"/>
          <w:szCs w:val="22"/>
        </w:rPr>
        <w:t xml:space="preserve"> e Salvatore Bianca per il Libero Consorzio Comunale di Siracusa con la sottoscrizione del presente atto, rinunciano al vincolo di solidarietà di cui all’art. 13 della Legge Professionale.</w:t>
      </w:r>
    </w:p>
    <w:p>
      <w:pPr>
        <w:pStyle w:val="NoSpacing"/>
        <w:widowControl/>
        <w:bidi w:val="0"/>
        <w:spacing w:lineRule="auto" w:line="360" w:before="0" w:after="0"/>
        <w:ind w:hanging="0" w:left="567" w:right="-510"/>
        <w:jc w:val="both"/>
        <w:rPr>
          <w:rFonts w:ascii="Times New Roman" w:hAnsi="Times New Roman"/>
          <w:sz w:val="22"/>
          <w:szCs w:val="22"/>
        </w:rPr>
      </w:pPr>
      <w:r>
        <w:rPr>
          <w:rFonts w:ascii="Times New Roman" w:hAnsi="Times New Roman"/>
          <w:b/>
          <w:sz w:val="22"/>
          <w:szCs w:val="22"/>
        </w:rPr>
        <w:t>7.</w:t>
      </w:r>
      <w:r>
        <w:rPr>
          <w:rFonts w:ascii="Times New Roman" w:hAnsi="Times New Roman"/>
          <w:bCs/>
          <w:sz w:val="22"/>
          <w:szCs w:val="22"/>
        </w:rPr>
        <w:t xml:space="preserve"> La presente viene sottoscritta in doppio originale, di cui n. 1 originale rimane al Libero Consorzio Comunale di Siracusa e n. 1 originale ai sigg.ri </w:t>
      </w:r>
      <w:r>
        <w:rPr>
          <w:rFonts w:ascii="Times New Roman" w:hAnsi="Times New Roman"/>
          <w:bCs/>
          <w:color w:val="111111"/>
          <w:sz w:val="22"/>
          <w:szCs w:val="22"/>
          <w:shd w:fill="111111" w:val="clear"/>
        </w:rPr>
        <w:t>Pizzo</w:t>
      </w:r>
      <w:r>
        <w:rPr>
          <w:rFonts w:ascii="Times New Roman" w:hAnsi="Times New Roman"/>
          <w:bCs/>
          <w:sz w:val="22"/>
          <w:szCs w:val="22"/>
        </w:rPr>
        <w:t>.</w:t>
      </w:r>
    </w:p>
    <w:p>
      <w:pPr>
        <w:pStyle w:val="NoSpacing"/>
        <w:spacing w:lineRule="auto" w:line="360"/>
        <w:ind w:left="567" w:right="1133"/>
        <w:jc w:val="both"/>
        <w:rPr>
          <w:rFonts w:ascii="Times New Roman" w:hAnsi="Times New Roman"/>
          <w:sz w:val="22"/>
          <w:szCs w:val="22"/>
        </w:rPr>
      </w:pPr>
      <w:r>
        <w:rPr>
          <w:rFonts w:ascii="Times New Roman" w:hAnsi="Times New Roman"/>
          <w:bCs/>
          <w:sz w:val="22"/>
          <w:szCs w:val="22"/>
        </w:rPr>
        <w:t>Letto, confermato e sottoscritto.</w:t>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right="1133"/>
        <w:jc w:val="both"/>
        <w:rPr>
          <w:color w:val="111111"/>
          <w:highlight w:val="none"/>
          <w:shd w:fill="111111" w:val="clear"/>
        </w:rPr>
      </w:pPr>
      <w:r>
        <w:rPr>
          <w:rFonts w:ascii="Times New Roman" w:hAnsi="Times New Roman"/>
          <w:bCs/>
          <w:color w:val="111111"/>
          <w:sz w:val="22"/>
          <w:szCs w:val="22"/>
          <w:shd w:fill="111111" w:val="clear"/>
        </w:rPr>
        <w:t>Salvatore Pizzo                                          Paolo Pizzo                                         Rodolfo Pizzo</w:t>
      </w:r>
    </w:p>
    <w:p>
      <w:pPr>
        <w:pStyle w:val="NoSpacing"/>
        <w:spacing w:lineRule="auto" w:line="360"/>
        <w:ind w:left="567" w:right="1133"/>
        <w:jc w:val="both"/>
        <w:rPr>
          <w:color w:val="111111"/>
          <w:highlight w:val="none"/>
          <w:shd w:fill="111111" w:val="clear"/>
        </w:rPr>
      </w:pPr>
      <w:r>
        <w:rPr>
          <w:rFonts w:ascii="Times New Roman" w:hAnsi="Times New Roman"/>
          <w:bCs/>
          <w:color w:val="111111"/>
          <w:sz w:val="22"/>
          <w:szCs w:val="22"/>
          <w:shd w:fill="111111" w:val="clear"/>
        </w:rPr>
        <w:t xml:space="preserve">                                                                                                                         </w:t>
      </w:r>
    </w:p>
    <w:p>
      <w:pPr>
        <w:pStyle w:val="NoSpacing"/>
        <w:spacing w:lineRule="auto" w:line="360"/>
        <w:ind w:left="567" w:right="1133"/>
        <w:jc w:val="both"/>
        <w:rPr>
          <w:color w:val="111111"/>
          <w:highlight w:val="none"/>
          <w:shd w:fill="111111" w:val="clear"/>
        </w:rPr>
      </w:pPr>
      <w:r>
        <w:rPr>
          <w:rFonts w:ascii="Times New Roman" w:hAnsi="Times New Roman"/>
          <w:bCs/>
          <w:color w:val="111111"/>
          <w:sz w:val="22"/>
          <w:szCs w:val="22"/>
          <w:shd w:fill="111111" w:val="clear"/>
        </w:rPr>
        <w:t xml:space="preserve">                      </w:t>
      </w:r>
    </w:p>
    <w:p>
      <w:pPr>
        <w:pStyle w:val="NoSpacing"/>
        <w:spacing w:lineRule="auto" w:line="360"/>
        <w:ind w:hanging="0" w:left="0" w:right="1133"/>
        <w:jc w:val="both"/>
        <w:rPr>
          <w:color w:val="111111"/>
          <w:highlight w:val="none"/>
          <w:shd w:fill="111111" w:val="clear"/>
        </w:rPr>
      </w:pPr>
      <w:r>
        <w:rPr>
          <w:rFonts w:ascii="Times New Roman" w:hAnsi="Times New Roman"/>
          <w:bCs/>
          <w:color w:val="111111"/>
          <w:sz w:val="22"/>
          <w:szCs w:val="22"/>
          <w:shd w:fill="111111" w:val="clear"/>
        </w:rPr>
        <w:t>Sabrina Pizzo</w:t>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r>
    </w:p>
    <w:p>
      <w:pPr>
        <w:pStyle w:val="Normal"/>
        <w:spacing w:lineRule="auto" w:line="360"/>
        <w:ind w:left="567" w:right="1133"/>
        <w:jc w:val="both"/>
        <w:rPr>
          <w:highlight w:val="none"/>
          <w:shd w:fill="auto" w:val="clear"/>
        </w:rPr>
      </w:pPr>
      <w:r>
        <w:rPr>
          <w:rFonts w:ascii="Times New Roman" w:hAnsi="Times New Roman"/>
          <w:bCs/>
          <w:sz w:val="22"/>
          <w:szCs w:val="22"/>
          <w:shd w:fill="auto" w:val="clear"/>
        </w:rPr>
        <w:t xml:space="preserve"> </w:t>
      </w:r>
    </w:p>
    <w:p>
      <w:pPr>
        <w:pStyle w:val="Normal"/>
        <w:spacing w:lineRule="auto" w:line="360" w:before="0" w:after="0"/>
        <w:ind w:left="567" w:right="1133"/>
        <w:jc w:val="both"/>
        <w:rPr>
          <w:highlight w:val="none"/>
          <w:shd w:fill="auto" w:val="clear"/>
        </w:rPr>
      </w:pPr>
      <w:r>
        <w:rPr>
          <w:rFonts w:ascii="Times New Roman" w:hAnsi="Times New Roman"/>
          <w:bCs/>
          <w:sz w:val="22"/>
          <w:szCs w:val="22"/>
          <w:shd w:fill="auto" w:val="clear"/>
        </w:rPr>
        <w:t xml:space="preserve">   </w:t>
      </w:r>
      <w:r>
        <w:rPr>
          <w:rFonts w:ascii="Times New Roman" w:hAnsi="Times New Roman"/>
          <w:bCs/>
          <w:sz w:val="22"/>
          <w:szCs w:val="22"/>
          <w:shd w:fill="auto" w:val="clear"/>
        </w:rPr>
        <w:t>Per il Libero Consorzio Comunale di Siracusa</w:t>
      </w:r>
    </w:p>
    <w:p>
      <w:pPr>
        <w:pStyle w:val="Normal"/>
        <w:spacing w:lineRule="auto" w:line="360"/>
        <w:ind w:left="567" w:right="1133"/>
        <w:jc w:val="both"/>
        <w:rPr>
          <w:highlight w:val="none"/>
          <w:shd w:fill="auto" w:val="clear"/>
        </w:rPr>
      </w:pPr>
      <w:r>
        <w:rPr>
          <w:rFonts w:ascii="Times New Roman" w:hAnsi="Times New Roman"/>
          <w:bCs/>
          <w:sz w:val="22"/>
          <w:szCs w:val="22"/>
          <w:shd w:fill="auto" w:val="clear"/>
        </w:rPr>
        <w:t xml:space="preserve">Il </w:t>
      </w:r>
      <w:r>
        <w:rPr>
          <w:rFonts w:ascii="Times New Roman" w:hAnsi="Times New Roman"/>
          <w:bCs/>
          <w:sz w:val="22"/>
          <w:szCs w:val="22"/>
          <w:shd w:fill="auto" w:val="clear"/>
        </w:rPr>
        <w:t>Responsabile del Settore VII - Espropriazioni</w:t>
      </w:r>
    </w:p>
    <w:p>
      <w:pPr>
        <w:pStyle w:val="NoSpacing"/>
        <w:spacing w:lineRule="auto" w:line="360"/>
        <w:ind w:left="567" w:right="1133"/>
        <w:jc w:val="both"/>
        <w:rPr>
          <w:rFonts w:ascii="Times New Roman" w:hAnsi="Times New Roman"/>
          <w:sz w:val="22"/>
          <w:szCs w:val="22"/>
        </w:rPr>
      </w:pPr>
      <w:r>
        <w:rPr/>
      </w:r>
    </w:p>
    <w:p>
      <w:pPr>
        <w:pStyle w:val="NoSpacing"/>
        <w:spacing w:lineRule="auto" w:line="360"/>
        <w:ind w:left="567" w:right="1133"/>
        <w:jc w:val="both"/>
        <w:rPr>
          <w:rFonts w:ascii="Times New Roman" w:hAnsi="Times New Roman"/>
          <w:sz w:val="22"/>
          <w:szCs w:val="22"/>
        </w:rPr>
      </w:pPr>
      <w:r>
        <w:rPr/>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bCs/>
          <w:sz w:val="22"/>
          <w:szCs w:val="22"/>
        </w:rPr>
        <w:t>Per i soli fini di rinuncia alla solidarietà professionale</w:t>
      </w:r>
    </w:p>
    <w:p>
      <w:pPr>
        <w:pStyle w:val="NoSpacing"/>
        <w:spacing w:lineRule="auto" w:line="360"/>
        <w:ind w:left="567" w:right="1133"/>
        <w:jc w:val="both"/>
        <w:rPr>
          <w:rFonts w:ascii="Times New Roman" w:hAnsi="Times New Roman"/>
          <w:sz w:val="22"/>
          <w:szCs w:val="22"/>
        </w:rPr>
      </w:pPr>
      <w:r>
        <w:rPr>
          <w:rFonts w:ascii="Times New Roman" w:hAnsi="Times New Roman"/>
          <w:bCs/>
          <w:sz w:val="22"/>
          <w:szCs w:val="22"/>
        </w:rPr>
        <w:t>Prof. Avv. Emilio Castorina                              Avv. Gianmarco Rametta</w:t>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bCs/>
          <w:sz w:val="22"/>
          <w:szCs w:val="22"/>
        </w:rPr>
        <w:t>Avv. Salvatore Bianca</w:t>
      </w:r>
    </w:p>
    <w:p>
      <w:pPr>
        <w:pStyle w:val="NoSpacing"/>
        <w:spacing w:lineRule="auto" w:line="360"/>
        <w:ind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right="1133"/>
        <w:jc w:val="both"/>
        <w:rPr>
          <w:rFonts w:ascii="Times New Roman" w:hAnsi="Times New Roman"/>
          <w:bCs/>
          <w:sz w:val="22"/>
          <w:szCs w:val="22"/>
        </w:rPr>
      </w:pPr>
      <w:r>
        <w:rPr>
          <w:rFonts w:ascii="Times New Roman" w:hAnsi="Times New Roman"/>
          <w:bCs/>
          <w:sz w:val="22"/>
          <w:szCs w:val="22"/>
        </w:rPr>
      </w:r>
    </w:p>
    <w:p>
      <w:pPr>
        <w:pStyle w:val="NoSpacing"/>
        <w:spacing w:lineRule="auto" w:line="360"/>
        <w:ind w:left="567" w:right="1133"/>
        <w:jc w:val="both"/>
        <w:rPr>
          <w:rFonts w:ascii="Times New Roman" w:hAnsi="Times New Roman"/>
          <w:sz w:val="22"/>
          <w:szCs w:val="22"/>
        </w:rPr>
      </w:pPr>
      <w:r>
        <w:rPr>
          <w:rFonts w:ascii="Times New Roman" w:hAnsi="Times New Roman"/>
          <w:sz w:val="22"/>
          <w:szCs w:val="22"/>
        </w:rPr>
      </w:r>
    </w:p>
    <w:sectPr>
      <w:footerReference w:type="even" r:id="rId3"/>
      <w:footerReference w:type="default" r:id="rId4"/>
      <w:footerReference w:type="first" r:id="rId5"/>
      <w:type w:val="nextPage"/>
      <w:pgSz w:w="11906" w:h="16838"/>
      <w:pgMar w:left="1134" w:right="1134" w:gutter="0" w:header="0" w:top="1417"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831125"/>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3</w:t>
        </w:r>
        <w:r>
          <w:rPr>
            <w:rFonts w:cs="Times New Roman" w:ascii="Times New Roman" w:hAnsi="Times New Roman"/>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831125"/>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3</w:t>
        </w:r>
        <w:r>
          <w:rPr>
            <w:rFonts w:cs="Times New Roman" w:ascii="Times New Roman" w:hAnsi="Times New Roman"/>
          </w:rPr>
          <w:fldChar w:fldCharType="end"/>
        </w:r>
      </w:p>
    </w:sdtContent>
  </w:sdt>
  <w:p>
    <w:pPr>
      <w:pStyle w:val="Footer"/>
      <w:rPr/>
    </w:pPr>
    <w:r>
      <w:rPr/>
    </w:r>
  </w:p>
</w:ftr>
</file>

<file path=word/settings.xml><?xml version="1.0" encoding="utf-8"?>
<w:settings xmlns:w="http://schemas.openxmlformats.org/wordprocessingml/2006/main">
  <w:zoom w:percent="100"/>
  <w:defaultTabStop w:val="708"/>
  <w:autoHyphenation w:val="true"/>
  <w:hyphenationZone w:val="283"/>
  <w:compat>
    <w:compatSetting w:name="compatibilityMode" w:uri="http://schemas.microsoft.com/office/word" w:val="12"/>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5bb7"/>
    <w:pPr>
      <w:widowControl/>
      <w:suppressAutoHyphens w:val="fals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rsid w:val="00bc0a81"/>
    <w:rPr>
      <w:rFonts w:ascii="Tahoma" w:hAnsi="Tahoma" w:cs="Tahoma"/>
      <w:sz w:val="16"/>
      <w:szCs w:val="16"/>
    </w:rPr>
  </w:style>
  <w:style w:type="character" w:styleId="IntestazioneCarattere" w:customStyle="1">
    <w:name w:val="Intestazione Carattere"/>
    <w:basedOn w:val="DefaultParagraphFont"/>
    <w:uiPriority w:val="99"/>
    <w:qFormat/>
    <w:rsid w:val="00d73d41"/>
    <w:rPr/>
  </w:style>
  <w:style w:type="character" w:styleId="PidipaginaCarattere" w:customStyle="1">
    <w:name w:val="Piè di pagina Carattere"/>
    <w:basedOn w:val="DefaultParagraphFont"/>
    <w:uiPriority w:val="99"/>
    <w:qFormat/>
    <w:rsid w:val="00d73d41"/>
    <w:rPr/>
  </w:style>
  <w:style w:type="character" w:styleId="Hyperlink">
    <w:name w:val="Hyperlink"/>
    <w:basedOn w:val="DefaultParagraphFont"/>
    <w:uiPriority w:val="99"/>
    <w:unhideWhenUsed/>
    <w:rsid w:val="00de1f22"/>
    <w:rPr>
      <w:color w:themeColor="hyperlink" w:val="0563C1"/>
      <w:u w:val="single"/>
    </w:rPr>
  </w:style>
  <w:style w:type="character" w:styleId="UnresolvedMention" w:customStyle="1">
    <w:name w:val="Unresolved Mention"/>
    <w:basedOn w:val="DefaultParagraphFont"/>
    <w:uiPriority w:val="99"/>
    <w:semiHidden/>
    <w:unhideWhenUsed/>
    <w:qFormat/>
    <w:rsid w:val="00de1f22"/>
    <w:rPr>
      <w:color w:val="605E5C"/>
      <w:shd w:fill="E1DFDD" w:val="clear"/>
    </w:rPr>
  </w:style>
  <w:style w:type="character" w:styleId="Annotationreference">
    <w:name w:val="annotation reference"/>
    <w:basedOn w:val="DefaultParagraphFont"/>
    <w:uiPriority w:val="99"/>
    <w:semiHidden/>
    <w:unhideWhenUsed/>
    <w:qFormat/>
    <w:rsid w:val="0021286e"/>
    <w:rPr>
      <w:sz w:val="16"/>
      <w:szCs w:val="16"/>
    </w:rPr>
  </w:style>
  <w:style w:type="character" w:styleId="TestocommentoCarattere" w:customStyle="1">
    <w:name w:val="Testo commento Carattere"/>
    <w:basedOn w:val="DefaultParagraphFont"/>
    <w:uiPriority w:val="99"/>
    <w:semiHidden/>
    <w:qFormat/>
    <w:rsid w:val="0021286e"/>
    <w:rPr>
      <w:sz w:val="20"/>
      <w:szCs w:val="20"/>
    </w:rPr>
  </w:style>
  <w:style w:type="character" w:styleId="SoggettocommentoCarattere" w:customStyle="1">
    <w:name w:val="Soggetto commento Carattere"/>
    <w:basedOn w:val="TestocommentoCarattere"/>
    <w:link w:val="Annotationsubject"/>
    <w:uiPriority w:val="99"/>
    <w:semiHidden/>
    <w:qFormat/>
    <w:rsid w:val="0021286e"/>
    <w:rPr>
      <w:b/>
      <w:bCs/>
      <w:sz w:val="20"/>
      <w:szCs w:val="20"/>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Lucida Sans"/>
    </w:rPr>
  </w:style>
  <w:style w:type="paragraph" w:styleId="Caption1">
    <w:name w:val="caption1"/>
    <w:basedOn w:val="Normal"/>
    <w:qFormat/>
    <w:pPr>
      <w:suppressLineNumbers/>
      <w:spacing w:before="120" w:after="120"/>
    </w:pPr>
    <w:rPr>
      <w:rFonts w:cs="Lucida Sans"/>
      <w:i/>
      <w:iCs/>
      <w:sz w:val="24"/>
      <w:szCs w:val="24"/>
    </w:rPr>
  </w:style>
  <w:style w:type="paragraph" w:styleId="ListParagraph">
    <w:name w:val="List Paragraph"/>
    <w:basedOn w:val="Normal"/>
    <w:uiPriority w:val="34"/>
    <w:qFormat/>
    <w:rsid w:val="00281eda"/>
    <w:pPr>
      <w:spacing w:before="0" w:after="200"/>
      <w:ind w:left="720"/>
      <w:contextualSpacing/>
    </w:pPr>
    <w:rPr/>
  </w:style>
  <w:style w:type="paragraph" w:styleId="BalloonText">
    <w:name w:val="Balloon Text"/>
    <w:basedOn w:val="Normal"/>
    <w:link w:val="TestofumettoCarattere"/>
    <w:uiPriority w:val="99"/>
    <w:semiHidden/>
    <w:unhideWhenUsed/>
    <w:qFormat/>
    <w:rsid w:val="00bc0a81"/>
    <w:pPr>
      <w:spacing w:lineRule="auto" w:line="240" w:before="0" w:after="0"/>
    </w:pPr>
    <w:rPr>
      <w:rFonts w:ascii="Tahoma" w:hAnsi="Tahoma" w:cs="Tahoma"/>
      <w:sz w:val="16"/>
      <w:szCs w:val="16"/>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d73d41"/>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d73d41"/>
    <w:pPr>
      <w:tabs>
        <w:tab w:val="clear" w:pos="708"/>
        <w:tab w:val="center" w:pos="4819" w:leader="none"/>
        <w:tab w:val="right" w:pos="9638" w:leader="none"/>
      </w:tabs>
      <w:spacing w:lineRule="auto" w:line="240" w:before="0" w:after="0"/>
    </w:pPr>
    <w:rPr/>
  </w:style>
  <w:style w:type="paragraph" w:styleId="NoSpacing">
    <w:name w:val="No Spacing"/>
    <w:uiPriority w:val="1"/>
    <w:qFormat/>
    <w:rsid w:val="00c22e4a"/>
    <w:pPr>
      <w:widowControl/>
      <w:suppressAutoHyphens w:val="true"/>
      <w:bidi w:val="0"/>
      <w:spacing w:lineRule="auto" w:line="240" w:before="0" w:after="0"/>
      <w:jc w:val="left"/>
    </w:pPr>
    <w:rPr>
      <w:rFonts w:ascii="Calibri" w:hAnsi="Calibri" w:eastAsia="Calibri" w:cs="" w:asciiTheme="minorHAnsi" w:cstheme="minorBidi" w:eastAsiaTheme="minorHAnsi" w:hAnsiTheme="minorHAnsi"/>
      <w:color w:val="auto"/>
      <w:kern w:val="2"/>
      <w:sz w:val="24"/>
      <w:szCs w:val="24"/>
      <w:lang w:val="it-IT" w:eastAsia="en-US" w:bidi="ar-SA"/>
    </w:rPr>
  </w:style>
  <w:style w:type="paragraph" w:styleId="Annotationtext">
    <w:name w:val="annotation text"/>
    <w:basedOn w:val="Normal"/>
    <w:link w:val="TestocommentoCarattere"/>
    <w:uiPriority w:val="99"/>
    <w:semiHidden/>
    <w:unhideWhenUsed/>
    <w:qFormat/>
    <w:rsid w:val="0021286e"/>
    <w:pPr>
      <w:spacing w:lineRule="auto" w:line="240"/>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21286e"/>
    <w:pPr/>
    <w:rPr>
      <w:b/>
      <w:bCs/>
    </w:rPr>
  </w:style>
  <w:style w:type="numbering" w:styleId="Nessunelenco" w:default="1">
    <w:name w:val="Nessun elenco"/>
    <w:uiPriority w:val="99"/>
    <w:semiHidden/>
    <w:unhideWhenUsed/>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vv.bianca@pec.it"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B4E95-7572-4C2D-89E5-3DE32CA44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Application>LibreOffice/7.6.5.2$Windows_X86_64 LibreOffice_project/38d5f62f85355c192ef5f1dd47c5c0c0c6d6598b</Application>
  <AppVersion>15.0000</AppVersion>
  <Pages>5</Pages>
  <Words>1712</Words>
  <Characters>10049</Characters>
  <CharactersWithSpaces>11980</CharactersWithSpaces>
  <Paragraphs>57</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2026-01-30T09:31:00Z</dcterms:created>
  <dc:creator>Avv. Franzone</dc:creator>
  <dc:description/>
  <dc:language>it-IT</dc:language>
  <cp:lastModifiedBy/>
  <cp:lastPrinted>2026-02-11T10:50:48Z</cp:lastPrinted>
  <dcterms:modified xsi:type="dcterms:W3CDTF">2026-03-24T10:30:11Z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file>