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widowControl w:val="false"/>
        <w:suppressAutoHyphens w:val="true"/>
        <w:bidi w:val="0"/>
        <w:spacing w:lineRule="auto" w:line="276" w:before="0" w:after="0"/>
        <w:ind w:hanging="0" w:left="1134" w:right="0"/>
        <w:jc w:val="left"/>
        <w:rPr>
          <w:sz w:val="24"/>
          <w:szCs w:val="24"/>
        </w:rPr>
      </w:pPr>
      <w:r>
        <w:rPr/>
        <w:object w:dxaOrig="3180" w:dyaOrig="459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2.2pt;height:57.35pt;mso-wrap-distance-right:0pt" filled="f" o:ole="">
            <v:imagedata r:id="rId3" o:title=""/>
          </v:shape>
          <o:OLEObject Type="Embed" ProgID="" ShapeID="ole_rId2" DrawAspect="Content" ObjectID="_2001581774" r:id="rId2"/>
        </w:object>
      </w:r>
      <w:r>
        <w:rPr>
          <w:sz w:val="24"/>
          <w:szCs w:val="24"/>
        </w:rPr>
        <w:t xml:space="preserve">                                                                                                          </w:t>
      </w: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4777740</wp:posOffset>
            </wp:positionH>
            <wp:positionV relativeFrom="paragraph">
              <wp:posOffset>-65405</wp:posOffset>
            </wp:positionV>
            <wp:extent cx="628650" cy="62674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6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 </w:t>
      </w:r>
    </w:p>
    <w:p>
      <w:pPr>
        <w:pStyle w:val="LO-normal"/>
        <w:widowControl w:val="false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Libero Consorzio Comunale di Siracusa                                                               </w:t>
      </w:r>
      <w:r>
        <w:rPr/>
        <w:drawing>
          <wp:inline distT="0" distB="0" distL="0" distR="0">
            <wp:extent cx="1149985" cy="152400"/>
            <wp:effectExtent l="0" t="0" r="0" b="0"/>
            <wp:docPr id="2" name="Immagine 0" descr="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0" descr="b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                                    </w:t>
      </w:r>
    </w:p>
    <w:p>
      <w:pPr>
        <w:pStyle w:val="LO-normal"/>
        <w:widowControl w:val="false"/>
        <w:spacing w:lineRule="auto" w:line="276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Calibri" w:cs="Calibri"/>
          <w:sz w:val="24"/>
          <w:szCs w:val="24"/>
        </w:rPr>
      </w:pPr>
      <w:r>
        <w:rPr>
          <w:b/>
          <w:bCs/>
          <w:sz w:val="24"/>
          <w:szCs w:val="24"/>
        </w:rPr>
        <w:t>integrazione Accordo  per la costituzione di un Partenariato Speciale Pubblico – Privato (ex art. 151 – D.Lgs. 50/2016 oggi art.134 – D.lgs. n36/2023) finalizzato agli investimenti e alla gestione per la valorizzazione</w:t>
      </w:r>
      <w:r>
        <w:rPr>
          <w:rFonts w:eastAsia="Calibri" w:cs="Calibri"/>
          <w:b/>
          <w:bCs/>
          <w:sz w:val="24"/>
          <w:szCs w:val="24"/>
        </w:rPr>
        <w:t xml:space="preserve"> della ex Caserma dei Carabinieri, già complesso monastico nel XV secolo, sito in Lentini (SR) in via Arrigo Testa ai numeri civici 1, 3 e 5, </w:t>
      </w:r>
      <w:r>
        <w:rPr>
          <w:b/>
          <w:sz w:val="24"/>
          <w:szCs w:val="24"/>
        </w:rPr>
        <w:t>e di altri eventuali beni e spazi ad essi complementari</w:t>
      </w:r>
      <w:r>
        <w:rPr/>
        <w:t xml:space="preserve"> </w:t>
      </w:r>
      <w:r>
        <w:rPr>
          <w:rFonts w:eastAsia="Calibri" w:cs="Calibri"/>
          <w:b/>
          <w:bCs/>
          <w:sz w:val="24"/>
          <w:szCs w:val="24"/>
        </w:rPr>
        <w:t xml:space="preserve">nella disponibilità del Libero Consorzio Comunale di Siracusa (SR) approvato con  Deliberazione del Commissario Straordinario n. 58 del 06/05/2024. </w:t>
      </w:r>
    </w:p>
    <w:p>
      <w:pPr>
        <w:pStyle w:val="Normal"/>
        <w:jc w:val="both"/>
        <w:rPr/>
      </w:pPr>
      <w:r>
        <w:rPr>
          <w:sz w:val="24"/>
        </w:rPr>
        <w:t>L'anno 2025, il giorno ..................… del mese di ................................…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/>
      </w:pPr>
      <w:r>
        <w:rPr>
          <w:i/>
          <w:sz w:val="24"/>
        </w:rPr>
        <w:t>tra</w:t>
      </w:r>
    </w:p>
    <w:p>
      <w:pPr>
        <w:pStyle w:val="Normal"/>
        <w:jc w:val="center"/>
        <w:rPr>
          <w:i/>
          <w:i/>
          <w:sz w:val="24"/>
        </w:rPr>
      </w:pPr>
      <w:r>
        <w:rPr>
          <w:i/>
          <w:sz w:val="24"/>
        </w:rPr>
      </w:r>
    </w:p>
    <w:p>
      <w:pPr>
        <w:pStyle w:val="Normal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b/>
          <w:bCs/>
          <w:sz w:val="24"/>
        </w:rPr>
        <w:t>il Libero Consorzio Comunale di Siracusa (</w:t>
      </w:r>
      <w:r>
        <w:rPr>
          <w:bCs/>
          <w:sz w:val="24"/>
        </w:rPr>
        <w:t>di seguito, più brevemente</w:t>
      </w:r>
      <w:r>
        <w:rPr>
          <w:b/>
          <w:bCs/>
          <w:sz w:val="24"/>
        </w:rPr>
        <w:t xml:space="preserve">, </w:t>
      </w:r>
      <w:r>
        <w:rPr>
          <w:bCs/>
          <w:sz w:val="24"/>
        </w:rPr>
        <w:t>Libero Consorzio) qui legalmente rappresentato</w:t>
      </w:r>
      <w:r>
        <w:rPr>
          <w:b/>
          <w:bCs/>
          <w:sz w:val="24"/>
        </w:rPr>
        <w:t xml:space="preserve"> </w:t>
      </w:r>
      <w:r>
        <w:rPr>
          <w:bCs/>
          <w:sz w:val="24"/>
        </w:rPr>
        <w:t>dal Presidente</w:t>
      </w:r>
      <w:r>
        <w:rPr>
          <w:sz w:val="24"/>
        </w:rPr>
        <w:t xml:space="preserve"> Dott. Michelangelo Giansiracusa, nato a Siracusa, il 02/08/1977, C.F GNSMHL77M02I754K, domiciliato per la carica presso la sede del Libero Consorzio Comunale di Siracusa,  via  Malta n. 106, CAP 96100</w:t>
      </w:r>
      <w:r>
        <w:rPr>
          <w:rFonts w:cs="Calibri" w:cstheme="majorHAnsi"/>
          <w:b/>
          <w:bCs/>
          <w:color w:val="202124"/>
          <w:sz w:val="24"/>
          <w:szCs w:val="24"/>
          <w:shd w:fill="FFFFFF" w:val="clear"/>
        </w:rPr>
        <w:t xml:space="preserve"> </w:t>
      </w:r>
      <w:r>
        <w:rPr>
          <w:sz w:val="24"/>
        </w:rPr>
        <w:t>;</w:t>
      </w:r>
    </w:p>
    <w:p>
      <w:pPr>
        <w:pStyle w:val="Normal"/>
        <w:jc w:val="center"/>
        <w:rPr>
          <w:i/>
          <w:i/>
          <w:sz w:val="24"/>
        </w:rPr>
      </w:pPr>
      <w:r>
        <w:rPr>
          <w:i/>
          <w:sz w:val="24"/>
        </w:rPr>
        <w:t>e</w:t>
      </w:r>
    </w:p>
    <w:p>
      <w:pPr>
        <w:pStyle w:val="BodyText"/>
        <w:spacing w:lineRule="auto" w:line="276"/>
        <w:rPr/>
      </w:pPr>
      <w:r>
        <w:rPr/>
      </w:r>
    </w:p>
    <w:p>
      <w:pPr>
        <w:pStyle w:val="BodyText"/>
        <w:tabs>
          <w:tab w:val="clear" w:pos="720"/>
          <w:tab w:val="left" w:pos="1245" w:leader="none"/>
          <w:tab w:val="left" w:pos="2680" w:leader="none"/>
          <w:tab w:val="left" w:pos="3503" w:leader="none"/>
          <w:tab w:val="left" w:pos="4007" w:leader="none"/>
          <w:tab w:val="left" w:pos="4991" w:leader="none"/>
          <w:tab w:val="left" w:pos="6729" w:leader="none"/>
          <w:tab w:val="left" w:pos="8275" w:leader="none"/>
        </w:tabs>
        <w:spacing w:lineRule="auto" w:line="276"/>
        <w:ind w:hanging="0" w:right="11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“</w:t>
      </w:r>
      <w:r>
        <w:rPr>
          <w:sz w:val="24"/>
          <w:szCs w:val="24"/>
        </w:rPr>
        <w:t xml:space="preserve">Badia Lost &amp; Found Società Cooperativa a responsabilità limitata” (di seguito, più brevemente, BADIA L&amp;F o Partner Speciale) con sede legale in </w:t>
      </w:r>
      <w:r>
        <w:rPr>
          <w:rFonts w:eastAsia="Roboto"/>
          <w:color w:val="202124"/>
          <w:sz w:val="24"/>
          <w:szCs w:val="24"/>
        </w:rPr>
        <w:t>Via E. De Nicola s.n.c. , Lentini CAP 96016 (SR)</w:t>
      </w:r>
      <w:r>
        <w:rPr>
          <w:sz w:val="24"/>
          <w:szCs w:val="24"/>
        </w:rPr>
        <w:t xml:space="preserve"> C.F. e P.IVA</w:t>
      </w:r>
      <w:r>
        <w:rPr>
          <w:rFonts w:eastAsia="Roboto"/>
          <w:color w:val="202124"/>
          <w:sz w:val="24"/>
          <w:szCs w:val="24"/>
          <w:lang w:val="en-GB"/>
        </w:rPr>
        <w:t xml:space="preserve"> 02024130896, qui </w:t>
      </w:r>
      <w:r>
        <w:rPr>
          <w:sz w:val="24"/>
          <w:szCs w:val="24"/>
        </w:rPr>
        <w:t xml:space="preserve">legalmente </w:t>
      </w:r>
      <w:r>
        <w:rPr>
          <w:spacing w:val="-1"/>
          <w:sz w:val="24"/>
          <w:szCs w:val="24"/>
        </w:rPr>
        <w:t>rappresentata dal Presidente pro-tempore Salvatore Giorgio Franco, nato a Catania il 23/10/1991, domiciliato ai fini del presente atto presso la sede legale della Cooperativa;</w:t>
      </w:r>
    </w:p>
    <w:p>
      <w:pPr>
        <w:pStyle w:val="BodyText"/>
        <w:tabs>
          <w:tab w:val="clear" w:pos="720"/>
          <w:tab w:val="left" w:pos="1245" w:leader="none"/>
          <w:tab w:val="left" w:pos="2680" w:leader="none"/>
          <w:tab w:val="left" w:pos="3503" w:leader="none"/>
          <w:tab w:val="left" w:pos="4007" w:leader="none"/>
          <w:tab w:val="left" w:pos="4991" w:leader="none"/>
          <w:tab w:val="left" w:pos="6729" w:leader="none"/>
          <w:tab w:val="left" w:pos="8275" w:leader="none"/>
        </w:tabs>
        <w:spacing w:lineRule="auto" w:line="276"/>
        <w:ind w:hanging="0" w:right="11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Premesso che: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</w:rPr>
        <w:t>Il Libero Consorzio è proprietario dell’Immobile sito Lentini (SR) in via Arrigo Testa numeri civici 1, 3 e 5, regolarmente censito al N.C.E.U del Libero Consorzio di Lentini al Foglio di mappa n. 91, Particella n. 8369, sub. 7, piano terra e primo, adibito a Caserma dei Carabinieri fino al 1990 e in seguito in completo abbandono</w:t>
      </w:r>
      <w:r>
        <w:rPr>
          <w:rFonts w:cs="Calibri" w:cstheme="majorHAnsi"/>
          <w:sz w:val="24"/>
          <w:szCs w:val="24"/>
        </w:rPr>
        <w:t>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</w:rPr>
        <w:t>Il Libero Consorzio, al fine di definire e consolidare le prospettive di sviluppo del territorio provinciale anche attraverso la piena valorizzazione del proprio patrimonio immobiliare,  culturale e paesaggistico, attiva programmi e progetti in sinergia con gli enti territoriali e superiori ispirati a un approccio strategico alla valorizzazione del patrimonio per garantire  continuità e solidità a tali prospettive, attivando non solo investimenti per il recupero del patrimonio, ma definendo le relative condizioni e destinazioni d’uso in una logica di integrazione, gestione della generazione del valore culturale e sociale che i beni patrimoniali provinciali potenzialmente possono generare in favore del benessere dei cittadini e della crescita sostenibile del tessuto economico;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</w:rPr>
        <w:t xml:space="preserve">Badia L&amp;F ha elaborato una proposta di PSPP, ai sensi dell’art. 151, c. 3 del D. Lgs. 50/2016 oggi rubricato all’art. 134 del D.lgs. n.36/2023, per la gestione e la valorizzazione dell’immobile citato attraverso attività coerenti con le finalità d’uso culturale, educativo, sociale, che è pervenuta a mezzo pec al Libero Consorzio, al protocollo generale n. </w:t>
      </w:r>
      <w:r>
        <w:rPr>
          <w:bCs/>
          <w:spacing w:val="-2"/>
          <w:sz w:val="24"/>
          <w:szCs w:val="24"/>
        </w:rPr>
        <w:t xml:space="preserve">16559 del 13/04/2023 </w:t>
      </w:r>
      <w:r>
        <w:rPr>
          <w:sz w:val="24"/>
          <w:szCs w:val="24"/>
        </w:rPr>
        <w:t>e allegata sotto la lettera A) come parte integrante e sostanziale del presente atto;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</w:rPr>
        <w:t>Il partenariato speciale proposto prevede un programma per macro voci degli investimenti di recupero e funzionalizzazione di un relativo quadro economico finanziario a carico del proponente di cui il primo lotto da chiudersi nei primi tre anni, tutti meglio descritti all’interno della proposta di PSPP e nei suoi allegati tecnici prendendosi atto che la durata media dei PSPP a oggi attivati in tutta Italia è prevista in 25 anni rinnovabili;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</w:rPr>
        <w:t>con Deliberazione del Commissario Straordinario del 28/06/2023 n.119, il Libero Consorzio ha preso atto della proposta di PSPP della Badia L&amp;F,  rilevando pertanto obiettivi coerenti con la propria azione amministrativa in quanto delinea un processo di valorizzazione del Bene, che ne costituisce oggetto, completo e articolato che persegue l’interesse generale della comunità alla promozione umana e all’integrazione sociale dei cittadini, attivando, altresì, una virtuosa cooperazione tra ente pubblico e soggetti privati;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</w:rPr>
        <w:t>con il medesimo provvedimento è stato dato avvio alla procedura di attivazione del potenziale Partenariato Speciale, dando adeguata evidenza pubblica dell’avvenuto ricevimento della proposta di partenariato speciale pubblico privato nelle forme stabilite dal D.lgs n.50/2016 tramite pubblicazione di avviso informativo, a cura del RUP Dottoressa Claudia Calore, Capo Settore Pubblica Istruzione – Servizi Sociali – Cultura e Sport, in data 07/07/2023, sull’albo pretorio e sul profilo del Libero Consorzio, per un periodo di 30 giorni solari e continuativi, finalizzato anche ad acquisire eventuali ulteriori manifestazioni di interesse con proposte integrative, complementari o alternative relative all’immobile oggetto della proposta originaria;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</w:rPr>
        <w:t xml:space="preserve">con Determinazione dirigenziale del </w:t>
      </w:r>
      <w:r>
        <w:rPr>
          <w:sz w:val="24"/>
          <w:szCs w:val="24"/>
          <w:shd w:fill="auto" w:val="clear"/>
        </w:rPr>
        <w:t>29/08/2023, al num.</w:t>
      </w:r>
      <w:r>
        <w:rPr>
          <w:sz w:val="24"/>
          <w:szCs w:val="24"/>
        </w:rPr>
        <w:t xml:space="preserve"> 1649 del Registro Generale delle Determinazioni, dandosi atto che entro il termine di pubblicazione dell’Avviso non sono pervenute ulteriori proposte integrative, complementari o alternative alla proposta originaria, si è contestualmente dato avvio alla fase negoziale della procedura di attivazione del PSPP con la Badia L&amp;F, quale originario e unico proponente, allo scopo di perfezionare la proposta pervenuta, gli impegni assumibili tra le parti e di definire la bozza conclusiva condivisa dell’Accordo di Partenariato Speciale Pubblico Privato, che regolamenterà i rapporti tra le parti;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  <w:lang w:bidi="hi-IN"/>
        </w:rPr>
        <w:t xml:space="preserve">in esito alla suddetta fase negoziale che si è svolta nelle riunioni del </w:t>
      </w:r>
      <w:r>
        <w:rPr>
          <w:sz w:val="24"/>
          <w:szCs w:val="24"/>
          <w:shd w:fill="auto" w:val="clear"/>
          <w:lang w:bidi="hi-IN"/>
        </w:rPr>
        <w:t>10/10/2023,</w:t>
      </w:r>
      <w:r>
        <w:rPr>
          <w:sz w:val="24"/>
          <w:szCs w:val="24"/>
          <w:lang w:bidi="hi-IN"/>
        </w:rPr>
        <w:t xml:space="preserve"> e nella conclusiva del </w:t>
      </w:r>
      <w:r>
        <w:rPr>
          <w:sz w:val="24"/>
          <w:szCs w:val="24"/>
          <w:shd w:fill="auto" w:val="clear"/>
          <w:lang w:bidi="hi-IN"/>
        </w:rPr>
        <w:t>29/01/2024</w:t>
      </w:r>
      <w:r>
        <w:rPr>
          <w:sz w:val="24"/>
          <w:szCs w:val="24"/>
          <w:lang w:bidi="hi-IN"/>
        </w:rPr>
        <w:t>, e delle quali è stato redatto apposito verbale agli atti, è stata definita la versione definitiva della proposta di PSPP ed è stato elaborato uno schema di accordo di Partenariato Speciale approvato dalle parti;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  <w:lang w:bidi="hi-IN"/>
        </w:rPr>
        <w:t>gli organi deputati della Badia L&amp;F hanno approvato il testo dell’Accordo di PSPP come licenziato in fase negoziale e allegato al verbale di chiusura della stessa;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sz w:val="24"/>
          <w:szCs w:val="24"/>
          <w:lang w:bidi="hi-IN"/>
        </w:rPr>
        <w:t xml:space="preserve">Il Commissario Straordinario del Libero Consorzio ha approvato, con propria deliberazione n. 58 </w:t>
      </w:r>
      <w:r>
        <w:rPr>
          <w:sz w:val="24"/>
          <w:szCs w:val="24"/>
          <w:shd w:fill="auto" w:val="clear"/>
          <w:lang w:bidi="hi-IN"/>
        </w:rPr>
        <w:t>del 06/05/2024, l’A</w:t>
      </w:r>
      <w:r>
        <w:rPr>
          <w:sz w:val="24"/>
          <w:szCs w:val="24"/>
          <w:lang w:bidi="hi-IN"/>
        </w:rPr>
        <w:t>ccordo siglato al tavolo negoziale</w:t>
      </w:r>
      <w:r>
        <w:rPr>
          <w:rFonts w:cs="Calibri" w:cstheme="majorHAnsi"/>
          <w:sz w:val="24"/>
          <w:szCs w:val="24"/>
          <w:lang w:bidi="hi-IN"/>
        </w:rPr>
        <w:t>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/>
          <w:sz w:val="24"/>
          <w:szCs w:val="24"/>
          <w:lang w:bidi="hi-IN"/>
        </w:rPr>
        <w:t>Che, in data 26/06/2024, è stato sottoscritto da entrambe le parti il citato Accordo;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/>
          <w:sz w:val="24"/>
          <w:szCs w:val="24"/>
          <w:lang w:bidi="hi-IN"/>
        </w:rPr>
        <w:t>Che, essendo stato dichiarato, con D.D.G. n. 2071 del 21/07/2015, l’immobile in argomento  di interesse culturale, ai sensi  dell’art. 10, co. 1 del Dlgs. 42/2004 e ss. mm. ii., con nota prot. n. 13506 del 06/05/2025, il Presidente di questo Libero Consorzio ha chiesto alla Soprintendenza per i beni culturali ed ambientali di Siracusa l’autorizzazione alla sua concessione in uso alla Società Cooperativa Badia Lost &amp; Found per il Partenariato suddetto;</w:t>
      </w:r>
    </w:p>
    <w:p>
      <w:pPr>
        <w:pStyle w:val="Normal"/>
        <w:numPr>
          <w:ilvl w:val="0"/>
          <w:numId w:val="1"/>
        </w:numPr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/>
          <w:sz w:val="24"/>
          <w:szCs w:val="24"/>
          <w:lang w:bidi="hi-IN"/>
        </w:rPr>
        <w:t>Che, con nota prot. n. 15507 del 27/05/2025, la Soprintendenza ha espresso parere favorevole alla concessione in uso dell’immobile, indicando prescrizioni e condizioni che comportano la necessità di integrare l’accordo sottoscritto in data 26/06/2024,</w:t>
      </w:r>
    </w:p>
    <w:p>
      <w:pPr>
        <w:pStyle w:val="Normal"/>
        <w:numPr>
          <w:ilvl w:val="0"/>
          <w:numId w:val="0"/>
        </w:numPr>
        <w:ind w:hanging="0" w:left="36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/>
          <w:sz w:val="24"/>
          <w:szCs w:val="24"/>
        </w:rPr>
      </w:r>
    </w:p>
    <w:p>
      <w:pPr>
        <w:pStyle w:val="Normal"/>
        <w:jc w:val="center"/>
        <w:rPr/>
      </w:pPr>
      <w:r>
        <w:rPr>
          <w:b/>
          <w:sz w:val="24"/>
        </w:rPr>
        <w:t>si convengono e sottoscrivono le seguenti integrazioni :</w:t>
      </w:r>
    </w:p>
    <w:p>
      <w:pPr>
        <w:pStyle w:val="Normal"/>
        <w:jc w:val="both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sz w:val="24"/>
          <w:lang w:bidi="hi-IN"/>
        </w:rPr>
      </w:pPr>
      <w:r>
        <w:rPr>
          <w:b/>
          <w:sz w:val="24"/>
          <w:lang w:bidi="hi-IN"/>
        </w:rPr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Fonts w:cs="Calibri" w:cstheme="majorHAnsi"/>
          <w:b w:val="false"/>
          <w:i w:val="false"/>
          <w:sz w:val="24"/>
          <w:szCs w:val="24"/>
        </w:rPr>
        <w:t>Integrare l’art. 14 (</w:t>
      </w:r>
      <w:r>
        <w:rPr>
          <w:rFonts w:cs="Calibri" w:cstheme="majorHAnsi"/>
          <w:b w:val="false"/>
          <w:bCs w:val="false"/>
          <w:i w:val="false"/>
          <w:sz w:val="24"/>
          <w:szCs w:val="24"/>
        </w:rPr>
        <w:t>Impegni generali e specifici del Partner Speciale) aggiungendo dopo la lettera X) le seguenti disposizioni e prescrizioni</w:t>
      </w:r>
      <w:r>
        <w:rPr>
          <w:rFonts w:cs="Calibri" w:cstheme="majorHAnsi"/>
          <w:b w:val="false"/>
          <w:i w:val="false"/>
          <w:spacing w:val="-10"/>
          <w:sz w:val="24"/>
          <w:szCs w:val="24"/>
        </w:rPr>
        <w:t>:</w:t>
      </w:r>
    </w:p>
    <w:p>
      <w:pPr>
        <w:pStyle w:val="Normal"/>
        <w:jc w:val="both"/>
        <w:rPr/>
      </w:pPr>
      <w:r>
        <w:rPr>
          <w:rFonts w:eastAsia="" w:cs="Calibri" w:ascii="Times New Roman" w:hAnsi="Times New Roman" w:cstheme="majorHAnsi"/>
          <w:b w:val="false"/>
          <w:i w:val="false"/>
          <w:sz w:val="24"/>
          <w:szCs w:val="24"/>
          <w:lang w:bidi="hi-IN"/>
        </w:rPr>
        <w:t>y)  c</w:t>
      </w:r>
      <w:r>
        <w:rPr>
          <w:rFonts w:eastAsia="" w:cs="Calibri" w:cstheme="majorHAnsi"/>
          <w:b w:val="false"/>
          <w:i/>
          <w:iCs/>
          <w:sz w:val="24"/>
          <w:szCs w:val="24"/>
          <w:lang w:bidi="hi-IN"/>
        </w:rPr>
        <w:t>he il Bene sia destinato ad un uso compatibile con le caratteristiche storiche ed architettoniche dello stesso;</w:t>
      </w:r>
    </w:p>
    <w:p>
      <w:pPr>
        <w:pStyle w:val="Normal"/>
        <w:jc w:val="both"/>
        <w:rPr>
          <w:rFonts w:ascii="Calibri" w:hAnsi="Calibri"/>
        </w:rPr>
      </w:pPr>
      <w:r>
        <w:rPr>
          <w:rFonts w:eastAsia="" w:cs="Calibri" w:cstheme="majorHAnsi"/>
          <w:b w:val="false"/>
          <w:i/>
          <w:iCs/>
          <w:sz w:val="24"/>
          <w:szCs w:val="24"/>
          <w:lang w:bidi="hi-IN"/>
        </w:rPr>
        <w:t xml:space="preserve">z) </w:t>
      </w:r>
      <w:r>
        <w:rPr>
          <w:rFonts w:eastAsia="" w:cs="Calibri" w:cstheme="majorHAnsi"/>
          <w:i/>
          <w:iCs/>
          <w:sz w:val="24"/>
          <w:szCs w:val="24"/>
          <w:lang w:bidi="hi-IN"/>
        </w:rPr>
        <w:t>che siano adottate tutte quelle misure indirizzate alla tutela e conservazione del Bene nella sua interezza mediante una coerente, coordinata e programmata attività di manutenzione e restauro;</w:t>
      </w:r>
    </w:p>
    <w:p>
      <w:pPr>
        <w:pStyle w:val="Normal"/>
        <w:jc w:val="both"/>
        <w:rPr>
          <w:rFonts w:ascii="Calibri" w:hAnsi="Calibri"/>
        </w:rPr>
      </w:pPr>
      <w:r>
        <w:rPr>
          <w:rFonts w:eastAsia="" w:cs="Calibri" w:cstheme="majorHAnsi"/>
          <w:i/>
          <w:iCs/>
          <w:sz w:val="24"/>
          <w:szCs w:val="24"/>
          <w:lang w:bidi="hi-IN"/>
        </w:rPr>
        <w:t>aa) che sia garantita la finalità pubblica del Bene in sicurezza ed in orari  compatibili con la futura destinazione d’uso;</w:t>
      </w:r>
    </w:p>
    <w:p>
      <w:pPr>
        <w:pStyle w:val="Normal"/>
        <w:jc w:val="both"/>
        <w:rPr/>
      </w:pPr>
      <w:r>
        <w:rPr>
          <w:rFonts w:eastAsia="" w:cs="Calibri" w:cstheme="majorHAnsi"/>
          <w:i/>
          <w:iCs/>
          <w:sz w:val="24"/>
          <w:szCs w:val="24"/>
          <w:lang w:bidi="hi-IN"/>
        </w:rPr>
        <w:t xml:space="preserve">bb) </w:t>
      </w:r>
      <w:r>
        <w:rPr>
          <w:rFonts w:eastAsia="" w:cs="Calibri" w:cstheme="majorHAnsi"/>
          <w:b w:val="false"/>
          <w:i/>
          <w:iCs/>
          <w:sz w:val="24"/>
          <w:szCs w:val="24"/>
          <w:lang w:bidi="hi-IN"/>
        </w:rPr>
        <w:t xml:space="preserve">che l’esecuzione di eventuali lavoro e opere di qualsiasi genere sia obbligatoriamente autorizzata </w:t>
      </w:r>
      <w:r>
        <w:rPr>
          <w:rFonts w:eastAsia="" w:cs="Times New Roman" w:eastAsiaTheme="minorEastAsia"/>
          <w:b w:val="false"/>
          <w:i/>
          <w:iCs/>
          <w:sz w:val="24"/>
          <w:szCs w:val="24"/>
        </w:rPr>
        <w:t xml:space="preserve"> preventivamente dalla Scr</w:t>
      </w:r>
      <w:r>
        <w:rPr>
          <w:rFonts w:eastAsia="" w:cs="Times New Roman" w:ascii="Times New Roman" w:hAnsi="Times New Roman" w:eastAsiaTheme="minorEastAsia"/>
          <w:b w:val="false"/>
          <w:i/>
          <w:iCs/>
          <w:sz w:val="24"/>
          <w:szCs w:val="24"/>
        </w:rPr>
        <w:t>ivente, ai sensi dell’art. 21, commi 4 e 5, del D.Lgs. n. 42/2004.</w:t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b w:val="false"/>
          <w:i/>
          <w:i/>
          <w:iCs/>
          <w:sz w:val="24"/>
          <w:szCs w:val="24"/>
        </w:rPr>
      </w:pPr>
      <w:r>
        <w:rPr>
          <w:rFonts w:eastAsia="" w:cs="Times New Roman" w:eastAsiaTheme="minorEastAsia" w:ascii="Times New Roman" w:hAnsi="Times New Roman"/>
          <w:b w:val="false"/>
          <w:i/>
          <w:iCs/>
          <w:sz w:val="24"/>
          <w:szCs w:val="24"/>
        </w:rPr>
      </w:r>
    </w:p>
    <w:p>
      <w:pPr>
        <w:pStyle w:val="Normal"/>
        <w:numPr>
          <w:ilvl w:val="0"/>
          <w:numId w:val="3"/>
        </w:numPr>
        <w:jc w:val="both"/>
        <w:rPr/>
      </w:pPr>
      <w:r>
        <w:rPr>
          <w:rFonts w:eastAsia="" w:cs="Times New Roman" w:eastAsiaTheme="minorEastAsia"/>
          <w:b w:val="false"/>
          <w:i w:val="false"/>
          <w:iCs w:val="false"/>
          <w:sz w:val="24"/>
          <w:szCs w:val="24"/>
        </w:rPr>
        <w:t xml:space="preserve">Integrare l’art. 24 ( </w:t>
      </w:r>
      <w:r>
        <w:rPr>
          <w:rFonts w:eastAsia="" w:cs="Times New Roman" w:eastAsiaTheme="minorEastAsia"/>
          <w:b w:val="false"/>
          <w:bCs w:val="false"/>
          <w:i w:val="false"/>
          <w:iCs w:val="false"/>
          <w:sz w:val="24"/>
          <w:szCs w:val="24"/>
        </w:rPr>
        <w:t>Risoluzione dell’Accordo) aggiungendo dopo la lettera c) la seguente disposizione:</w:t>
      </w:r>
    </w:p>
    <w:p>
      <w:pPr>
        <w:pStyle w:val="Normal"/>
        <w:jc w:val="both"/>
        <w:rPr>
          <w:rFonts w:eastAsia="" w:cs="Times New Roman" w:eastAsiaTheme="minorEastAsia"/>
          <w:b w:val="false"/>
          <w:bCs w:val="false"/>
          <w:sz w:val="24"/>
          <w:szCs w:val="24"/>
        </w:rPr>
      </w:pPr>
      <w:r>
        <w:rPr>
          <w:rFonts w:eastAsia="" w:cs="Times New Roman" w:eastAsiaTheme="minorEastAsia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Calibri" w:hAnsi="Calibri"/>
          <w:i/>
          <w:i/>
          <w:iCs/>
        </w:rPr>
      </w:pPr>
      <w:r>
        <w:rPr>
          <w:rFonts w:eastAsia="" w:cs="Times New Roman" w:eastAsiaTheme="minorEastAsia"/>
          <w:b w:val="false"/>
          <w:bCs w:val="false"/>
          <w:i/>
          <w:iCs/>
          <w:sz w:val="24"/>
          <w:szCs w:val="24"/>
        </w:rPr>
        <w:t xml:space="preserve">d) </w:t>
      </w:r>
      <w:r>
        <w:rPr>
          <w:rFonts w:eastAsia="" w:cs="Times New Roman"/>
          <w:b w:val="false"/>
          <w:bCs w:val="false"/>
          <w:i/>
          <w:iCs/>
          <w:sz w:val="24"/>
          <w:szCs w:val="24"/>
          <w:shd w:fill="auto" w:val="clear"/>
        </w:rPr>
        <w:t>Violazione di quanto previsto nell’art. 14 ( Impegni generali e specifici del Partner Speciale) lettere y), z) aa), bb).</w:t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sz w:val="24"/>
          <w:szCs w:val="24"/>
        </w:rPr>
      </w:pPr>
      <w:r>
        <w:rPr>
          <w:rFonts w:eastAsia="" w:cs="Times New Roman" w:eastAsiaTheme="minorEastAsia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" w:cs="Times New Roman" w:eastAsiaTheme="minorEastAsia"/>
          <w:b w:val="false"/>
          <w:i/>
          <w:i/>
          <w:iCs/>
          <w:sz w:val="24"/>
          <w:szCs w:val="24"/>
        </w:rPr>
      </w:pPr>
      <w:r>
        <w:rPr>
          <w:rFonts w:eastAsia="" w:cs="Times New Roman" w:eastAsiaTheme="minorEastAsia" w:ascii="Times New Roman" w:hAnsi="Times New Roman"/>
          <w:b w:val="false"/>
          <w:i/>
          <w:iCs/>
          <w:sz w:val="24"/>
          <w:szCs w:val="24"/>
        </w:rPr>
      </w:r>
    </w:p>
    <w:p>
      <w:pPr>
        <w:pStyle w:val="Normal"/>
        <w:jc w:val="both"/>
        <w:rPr/>
      </w:pPr>
      <w:r>
        <w:rPr>
          <w:rFonts w:eastAsia="" w:cs="Times New Roman" w:eastAsiaTheme="minorEastAsia"/>
          <w:b w:val="false"/>
          <w:i w:val="false"/>
          <w:iCs w:val="false"/>
          <w:sz w:val="24"/>
          <w:szCs w:val="24"/>
        </w:rPr>
        <w:t xml:space="preserve">Le parti danno atto che l’Accordo </w:t>
      </w:r>
      <w:r>
        <w:rPr>
          <w:rFonts w:eastAsia="" w:cs="Times New Roman" w:eastAsiaTheme="minorEastAsia"/>
          <w:b w:val="false"/>
          <w:bCs w:val="false"/>
          <w:i w:val="false"/>
          <w:iCs w:val="false"/>
          <w:sz w:val="24"/>
          <w:szCs w:val="24"/>
        </w:rPr>
        <w:t xml:space="preserve"> per la costituzione di un Partenariato Speciale Pubblico – Privato (ex art. 151 – D.Lgs. 50/2016 oggi art.134 – D.lgs. n36/2023) finalizzato agli investimenti e alla gestione per la valorizzazione</w:t>
      </w:r>
      <w:r>
        <w:rPr>
          <w:rFonts w:eastAsia="Calibri" w:cs="Calibri"/>
          <w:b w:val="false"/>
          <w:bCs w:val="false"/>
          <w:i w:val="false"/>
          <w:iCs w:val="false"/>
          <w:sz w:val="24"/>
          <w:szCs w:val="24"/>
        </w:rPr>
        <w:t xml:space="preserve"> della ex Caserma dei Carabinieri, già complesso monastico nel XV secolo, sito in Lentini (SR) in via Arrigo Testa ai numeri civici 1, 3 e 5, </w:t>
      </w:r>
      <w:r>
        <w:rPr>
          <w:rFonts w:eastAsia="" w:cs="Times New Roman" w:eastAsiaTheme="minorEastAsia"/>
          <w:b w:val="false"/>
          <w:bCs w:val="false"/>
          <w:i w:val="false"/>
          <w:iCs w:val="false"/>
          <w:sz w:val="24"/>
          <w:szCs w:val="24"/>
        </w:rPr>
        <w:t xml:space="preserve">e di altri eventuali beni e spazi ad essi complementari </w:t>
      </w:r>
      <w:r>
        <w:rPr>
          <w:rFonts w:eastAsia="Calibri" w:cs="Calibri"/>
          <w:b w:val="false"/>
          <w:bCs w:val="false"/>
          <w:i w:val="false"/>
          <w:iCs w:val="false"/>
          <w:sz w:val="24"/>
          <w:szCs w:val="24"/>
        </w:rPr>
        <w:t xml:space="preserve">nella disponibilità del Libero Consorzio Comunale di Siracusa (SR), </w:t>
      </w:r>
      <w:r>
        <w:rPr>
          <w:rFonts w:eastAsia="Calibri" w:cs="Calibri"/>
          <w:b w:val="false"/>
          <w:bCs w:val="false"/>
          <w:i/>
          <w:iCs/>
          <w:sz w:val="24"/>
          <w:szCs w:val="24"/>
        </w:rPr>
        <w:t xml:space="preserve"> </w:t>
      </w:r>
      <w:r>
        <w:rPr>
          <w:rFonts w:eastAsia="Calibri" w:cs="Calibri"/>
          <w:b w:val="false"/>
          <w:bCs w:val="false"/>
          <w:i w:val="false"/>
          <w:iCs w:val="false"/>
          <w:sz w:val="24"/>
          <w:szCs w:val="24"/>
        </w:rPr>
        <w:t>risulta essere definito dall’Accordo approvato con  Deliberazione del Commissario Straordinario n. 58 del 06/0</w:t>
      </w:r>
      <w:r>
        <w:rPr>
          <w:rFonts w:eastAsia="Calibri" w:cs="Calibri"/>
          <w:b w:val="false"/>
          <w:bCs w:val="false"/>
          <w:i/>
          <w:iCs/>
          <w:sz w:val="24"/>
          <w:szCs w:val="24"/>
        </w:rPr>
        <w:t xml:space="preserve">5/2024 </w:t>
      </w:r>
      <w:r>
        <w:rPr>
          <w:rFonts w:eastAsia="Calibri" w:cs="Calibri"/>
          <w:b w:val="false"/>
          <w:bCs w:val="false"/>
          <w:i w:val="false"/>
          <w:iCs w:val="false"/>
          <w:sz w:val="24"/>
          <w:szCs w:val="24"/>
        </w:rPr>
        <w:t>e</w:t>
      </w:r>
      <w:r>
        <w:rPr>
          <w:rFonts w:eastAsia="Calibri" w:cs="Calibri"/>
          <w:b w:val="false"/>
          <w:bCs w:val="false"/>
          <w:i/>
          <w:iCs/>
          <w:sz w:val="24"/>
          <w:szCs w:val="24"/>
        </w:rPr>
        <w:t xml:space="preserve"> </w:t>
      </w:r>
      <w:r>
        <w:rPr>
          <w:rFonts w:eastAsia="Calibri" w:cs="Calibri"/>
          <w:b w:val="false"/>
          <w:bCs w:val="false"/>
          <w:i w:val="false"/>
          <w:iCs w:val="false"/>
          <w:sz w:val="24"/>
          <w:szCs w:val="24"/>
        </w:rPr>
        <w:t>sottoscritto in data 26/06/2024 nonché dal presente Accordo Integrativo.</w:t>
      </w:r>
    </w:p>
    <w:p>
      <w:pPr>
        <w:pStyle w:val="Normal"/>
        <w:jc w:val="both"/>
        <w:rPr>
          <w:sz w:val="24"/>
          <w:lang w:bidi="hi-IN"/>
        </w:rPr>
      </w:pPr>
      <w:r>
        <w:rPr>
          <w:sz w:val="24"/>
          <w:lang w:bidi="hi-IN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Siracusa, lì____________________</w:t>
      </w:r>
    </w:p>
    <w:p>
      <w:pPr>
        <w:pStyle w:val="Normal"/>
        <w:jc w:val="both"/>
        <w:rPr/>
      </w:pPr>
      <w:r>
        <w:rPr/>
      </w:r>
    </w:p>
    <w:tbl>
      <w:tblPr>
        <w:tblStyle w:val="Grigliatabella"/>
        <w:tblW w:w="99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43"/>
        <w:gridCol w:w="5281"/>
      </w:tblGrid>
      <w:tr>
        <w:trPr/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  <w:t>per il Partner Speciale Badia L&amp;F</w:t>
            </w:r>
          </w:p>
          <w:p>
            <w:pPr>
              <w:pStyle w:val="Normal"/>
              <w:ind w:hanging="0" w:left="2880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>
                <w:i/>
                <w:iCs/>
                <w:sz w:val="24"/>
              </w:rPr>
              <w:t>Il Presidente nonché Rappresentante Legale</w:t>
            </w:r>
          </w:p>
          <w:p>
            <w:pPr>
              <w:pStyle w:val="Normal"/>
              <w:ind w:hanging="0" w:left="2880"/>
              <w:jc w:val="center"/>
              <w:rPr/>
            </w:pPr>
            <w:r>
              <w:rPr/>
            </w:r>
          </w:p>
          <w:p>
            <w:pPr>
              <w:pStyle w:val="Normal"/>
              <w:ind w:hanging="0" w:left="2880"/>
              <w:jc w:val="center"/>
              <w:rPr/>
            </w:pPr>
            <w:r>
              <w:rPr/>
            </w:r>
          </w:p>
          <w:p>
            <w:pPr>
              <w:pStyle w:val="Normal"/>
              <w:ind w:hanging="0" w:left="2880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____________________________</w:t>
            </w:r>
          </w:p>
          <w:p>
            <w:pPr>
              <w:pStyle w:val="Normal"/>
              <w:jc w:val="center"/>
              <w:rPr/>
            </w:pPr>
            <w:r>
              <w:rPr>
                <w:i/>
                <w:iCs/>
              </w:rPr>
              <w:t>(firma)</w:t>
            </w:r>
          </w:p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2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  <w:t>per il Libero Consorzio</w:t>
            </w:r>
          </w:p>
          <w:p>
            <w:pPr>
              <w:pStyle w:val="Normal"/>
              <w:jc w:val="center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</w:r>
          </w:p>
          <w:p>
            <w:pPr>
              <w:pStyle w:val="Normal"/>
              <w:jc w:val="center"/>
              <w:rPr>
                <w:i/>
                <w:i/>
              </w:rPr>
            </w:pPr>
            <w:r>
              <w:rPr>
                <w:i/>
                <w:sz w:val="24"/>
              </w:rPr>
              <w:t xml:space="preserve">Il </w:t>
            </w:r>
            <w:r>
              <w:rPr>
                <w:i/>
                <w:sz w:val="24"/>
              </w:rPr>
              <w:t>Presidente</w:t>
            </w:r>
          </w:p>
          <w:p>
            <w:pPr>
              <w:pStyle w:val="Normal"/>
              <w:jc w:val="center"/>
              <w:rPr>
                <w:i/>
                <w:i/>
              </w:rPr>
            </w:pPr>
            <w:r>
              <w:rPr>
                <w:i/>
                <w:sz w:val="24"/>
              </w:rPr>
              <w:t>M</w:t>
            </w:r>
            <w:r>
              <w:rPr>
                <w:i/>
                <w:sz w:val="24"/>
              </w:rPr>
              <w:t>ichelangelo Giansiracusa</w:t>
            </w:r>
          </w:p>
          <w:p>
            <w:pPr>
              <w:pStyle w:val="Normal"/>
              <w:ind w:hanging="0" w:left="2880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4"/>
              </w:rPr>
              <w:t>___________________________</w:t>
            </w:r>
          </w:p>
          <w:p>
            <w:pPr>
              <w:pStyle w:val="Normal"/>
              <w:jc w:val="center"/>
              <w:rPr/>
            </w:pPr>
            <w:r>
              <w:rPr>
                <w:i/>
                <w:iCs/>
              </w:rPr>
              <w:t>(firma)</w:t>
            </w:r>
          </w:p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hanging="0" w:left="2880"/>
        <w:jc w:val="both"/>
        <w:rPr>
          <w:sz w:val="24"/>
        </w:rPr>
      </w:pPr>
      <w:r>
        <w:rPr>
          <w:sz w:val="24"/>
        </w:rPr>
      </w:r>
    </w:p>
    <w:sectPr>
      <w:footerReference w:type="default" r:id="rId6"/>
      <w:type w:val="nextPage"/>
      <w:pgSz w:w="11906" w:h="16838"/>
      <w:pgMar w:left="1063" w:right="1134" w:gutter="0" w:header="0" w:top="1418" w:footer="720" w:bottom="1134"/>
      <w:pgNumType w:start="1" w:fmt="decimal"/>
      <w:formProt w:val="false"/>
      <w:textDirection w:val="lrTb"/>
      <w:docGrid w:type="default" w:linePitch="1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right" w:pos="2835" w:leader="none"/>
        <w:tab w:val="center" w:pos="4819" w:leader="none"/>
        <w:tab w:val="right" w:pos="9638" w:leader="none"/>
      </w:tabs>
      <w:spacing w:lineRule="auto" w:line="360"/>
      <w:ind w:hanging="0" w:right="360"/>
      <w:jc w:val="right"/>
      <w:rPr/>
    </w:pPr>
    <w:r>
      <w:rPr>
        <w:rFonts w:eastAsia="Times New Roman" w:cs="Times New Roman" w:ascii="Times New Roman" w:hAnsi="Times New Roman"/>
      </w:rPr>
      <w:fldChar w:fldCharType="begin"/>
    </w:r>
    <w:r>
      <w:rPr>
        <w:rFonts w:eastAsia="Times New Roman" w:cs="Times New Roman" w:ascii="Times New Roman" w:hAnsi="Times New Roman"/>
      </w:rPr>
      <w:instrText xml:space="preserve"> PAGE </w:instrText>
    </w:r>
    <w:r>
      <w:rPr>
        <w:rFonts w:eastAsia="Times New Roman" w:cs="Times New Roman" w:ascii="Times New Roman" w:hAnsi="Times New Roman"/>
      </w:rPr>
      <w:fldChar w:fldCharType="separate"/>
    </w:r>
    <w:r>
      <w:rPr>
        <w:rFonts w:eastAsia="Times New Roman" w:cs="Times New Roman" w:ascii="Times New Roman" w:hAnsi="Times New Roman"/>
      </w:rPr>
      <w:t>4</w:t>
    </w:r>
    <w:r>
      <w:rPr>
        <w:rFonts w:eastAsia="Times New Roman" w:cs="Times New Roman" w:ascii="Times New Roman" w:hAnsi="Times New Roman"/>
      </w:rPr>
      <w:fldChar w:fldCharType="end"/>
    </w:r>
  </w:p>
  <w:p>
    <w:pPr>
      <w:pStyle w:val="LO-normal"/>
      <w:tabs>
        <w:tab w:val="clear" w:pos="720"/>
        <w:tab w:val="right" w:pos="2835" w:leader="none"/>
        <w:tab w:val="center" w:pos="4819" w:leader="none"/>
        <w:tab w:val="right" w:pos="9638" w:leader="none"/>
      </w:tabs>
      <w:spacing w:lineRule="auto" w:line="360"/>
      <w:ind w:hanging="0" w:right="360"/>
      <w:jc w:val="center"/>
      <w:rPr>
        <w:rFonts w:eastAsia="Calibri" w:cs="Calibri"/>
        <w:b/>
        <w:i/>
        <w:i/>
        <w:color w:val="000000"/>
        <w:sz w:val="19"/>
        <w:szCs w:val="19"/>
      </w:rPr>
    </w:pPr>
    <w:r>
      <w:rPr>
        <w:rFonts w:eastAsia="Calibri" w:cs="Calibri"/>
        <w:b/>
        <w:i/>
        <w:color w:val="000000"/>
        <w:sz w:val="19"/>
        <w:szCs w:val="19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vertAlign w:val="baseline"/>
        <w:position w:val="0"/>
        <w:sz w:val="20"/>
        <w:sz w:val="20"/>
        <w:effect w:val="none"/>
        <w:em w:val="none"/>
        <w:w w:val="10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283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lang w:val="it-IT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1" w:before="0" w:after="0"/>
      <w:jc w:val="left"/>
      <w:textAlignment w:val="top"/>
      <w:outlineLvl w:val="0"/>
    </w:pPr>
    <w:rPr>
      <w:rFonts w:ascii="Calibri" w:hAnsi="Calibri" w:eastAsia="NSimSun" w:cs="Arial"/>
      <w:color w:val="auto"/>
      <w:kern w:val="0"/>
      <w:sz w:val="20"/>
      <w:szCs w:val="20"/>
      <w:lang w:val="it-I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</w:pPr>
    <w:rPr>
      <w:rFonts w:ascii="Arial" w:hAnsi="Arial"/>
      <w:b/>
      <w:kern w:val="2"/>
      <w:sz w:val="28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 w:val="true"/>
      <w:spacing w:before="240" w:after="60"/>
      <w:outlineLvl w:val="3"/>
    </w:pPr>
    <w:rPr>
      <w:b/>
      <w:i/>
      <w:sz w:val="24"/>
    </w:rPr>
  </w:style>
  <w:style w:type="paragraph" w:styleId="Heading5">
    <w:name w:val="Heading 5"/>
    <w:basedOn w:val="Normal"/>
    <w:next w:val="Normal"/>
    <w:qFormat/>
    <w:pPr>
      <w:keepNext w:val="true"/>
      <w:spacing w:lineRule="auto" w:line="360"/>
      <w:ind w:hanging="1134"/>
      <w:jc w:val="center"/>
      <w:outlineLvl w:val="4"/>
    </w:pPr>
    <w:rPr>
      <w:rFonts w:ascii="Arial" w:hAnsi="Arial"/>
      <w:color w:val="0000FF"/>
      <w:sz w:val="24"/>
    </w:rPr>
  </w:style>
  <w:style w:type="paragraph" w:styleId="Heading6">
    <w:name w:val="Heading 6"/>
    <w:basedOn w:val="Normal"/>
    <w:next w:val="Normal"/>
    <w:qFormat/>
    <w:pPr>
      <w:keepNext w:val="true"/>
      <w:ind w:firstLine="5954"/>
      <w:jc w:val="center"/>
      <w:outlineLvl w:val="5"/>
    </w:pPr>
    <w:rPr>
      <w:rFonts w:ascii="Arial" w:hAnsi="Arial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tabs>
        <w:tab w:val="clear" w:pos="720"/>
        <w:tab w:val="left" w:pos="0" w:leader="none"/>
      </w:tabs>
      <w:spacing w:lineRule="auto" w:line="360"/>
      <w:jc w:val="both"/>
      <w:outlineLvl w:val="6"/>
    </w:pPr>
    <w:rPr>
      <w:i/>
      <w:sz w:val="24"/>
    </w:rPr>
  </w:style>
  <w:style w:type="paragraph" w:styleId="Heading8">
    <w:name w:val="Heading 8"/>
    <w:basedOn w:val="Normal"/>
    <w:next w:val="Normal"/>
    <w:qFormat/>
    <w:pPr>
      <w:keepNext w:val="true"/>
      <w:jc w:val="both"/>
      <w:outlineLvl w:val="7"/>
    </w:pPr>
    <w:rPr>
      <w:b/>
      <w:sz w:val="24"/>
    </w:rPr>
  </w:style>
  <w:style w:type="paragraph" w:styleId="Heading9">
    <w:name w:val="Heading 9"/>
    <w:basedOn w:val="Normal"/>
    <w:next w:val="Normal"/>
    <w:qFormat/>
    <w:pPr>
      <w:keepNext w:val="true"/>
      <w:ind w:firstLine="5954"/>
      <w:jc w:val="center"/>
      <w:outlineLvl w:val="8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1" w:customStyle="1">
    <w:name w:val="WW8Num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2" w:customStyle="1">
    <w:name w:val="WW8Num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3" w:customStyle="1">
    <w:name w:val="WW8Num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4" w:customStyle="1">
    <w:name w:val="WW8Num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5" w:customStyle="1">
    <w:name w:val="WW8Num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6" w:customStyle="1">
    <w:name w:val="WW8Num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7" w:customStyle="1">
    <w:name w:val="WW8Num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8" w:customStyle="1">
    <w:name w:val="WW8Num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0" w:customStyle="1">
    <w:name w:val="WW8Num2z0"/>
    <w:qFormat/>
    <w:rPr>
      <w:rFonts w:ascii="Calibri" w:hAnsi="Calibri" w:cs="Calibri"/>
      <w:b w:val="false"/>
      <w:bCs w:val="false"/>
      <w:i/>
      <w:iCs/>
      <w:w w:val="100"/>
      <w:position w:val="0"/>
      <w:sz w:val="24"/>
      <w:sz w:val="24"/>
      <w:szCs w:val="24"/>
      <w:effect w:val="none"/>
      <w:vertAlign w:val="baseline"/>
      <w:em w:val="none"/>
    </w:rPr>
  </w:style>
  <w:style w:type="character" w:styleId="WW8Num2z1" w:customStyle="1">
    <w:name w:val="WW8Num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2" w:customStyle="1">
    <w:name w:val="WW8Num2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3" w:customStyle="1">
    <w:name w:val="WW8Num2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4" w:customStyle="1">
    <w:name w:val="WW8Num2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5" w:customStyle="1">
    <w:name w:val="WW8Num2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6" w:customStyle="1">
    <w:name w:val="WW8Num2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7" w:customStyle="1">
    <w:name w:val="WW8Num2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8" w:customStyle="1">
    <w:name w:val="WW8Num2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z0" w:customStyle="1">
    <w:name w:val="WW8Num3z0"/>
    <w:qFormat/>
    <w:rPr>
      <w:rFonts w:ascii="Symbol" w:hAnsi="Symbol" w:eastAsia="Times New Roman" w:cs="OpenSymbol"/>
      <w:w w:val="100"/>
      <w:position w:val="0"/>
      <w:sz w:val="24"/>
      <w:sz w:val="24"/>
      <w:szCs w:val="24"/>
      <w:effect w:val="none"/>
      <w:shd w:fill="auto" w:val="clear"/>
      <w:vertAlign w:val="baseline"/>
      <w:em w:val="none"/>
      <w:lang w:val="it-IT" w:eastAsia="zh-CN" w:bidi="ar-SA"/>
    </w:rPr>
  </w:style>
  <w:style w:type="character" w:styleId="WW8Num3z1" w:customStyle="1">
    <w:name w:val="WW8Num3z1"/>
    <w:qFormat/>
    <w:rPr>
      <w:rFonts w:ascii="OpenSymbol" w:hAnsi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Carpredefinitoparagrafo2" w:customStyle="1">
    <w:name w:val="Car. predefinito paragrafo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z2" w:customStyle="1">
    <w:name w:val="WW8Num3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4z0" w:customStyle="1">
    <w:name w:val="WW8Num4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4z1" w:customStyle="1">
    <w:name w:val="WW8Num4z1"/>
    <w:qFormat/>
    <w:rPr>
      <w:b w:val="false"/>
      <w:w w:val="100"/>
      <w:position w:val="0"/>
      <w:sz w:val="20"/>
      <w:sz w:val="20"/>
      <w:effect w:val="none"/>
      <w:vertAlign w:val="baseline"/>
      <w:em w:val="none"/>
    </w:rPr>
  </w:style>
  <w:style w:type="character" w:styleId="WW8Num4z2" w:customStyle="1">
    <w:name w:val="WW8Num4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4z4" w:customStyle="1">
    <w:name w:val="WW8Num4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5z0" w:customStyle="1">
    <w:name w:val="WW8Num5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5z1" w:customStyle="1">
    <w:name w:val="WW8Num5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5z2" w:customStyle="1">
    <w:name w:val="WW8Num5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5z3" w:customStyle="1">
    <w:name w:val="WW8Num5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5z4" w:customStyle="1">
    <w:name w:val="WW8Num5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5z5" w:customStyle="1">
    <w:name w:val="WW8Num5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5z6" w:customStyle="1">
    <w:name w:val="WW8Num5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5z7" w:customStyle="1">
    <w:name w:val="WW8Num5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5z8" w:customStyle="1">
    <w:name w:val="WW8Num5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6z0" w:customStyle="1">
    <w:name w:val="WW8Num6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0" w:customStyle="1">
    <w:name w:val="WW8Num7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1" w:customStyle="1">
    <w:name w:val="WW8Num7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2" w:customStyle="1">
    <w:name w:val="WW8Num7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3" w:customStyle="1">
    <w:name w:val="WW8Num7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4" w:customStyle="1">
    <w:name w:val="WW8Num7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5" w:customStyle="1">
    <w:name w:val="WW8Num7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6" w:customStyle="1">
    <w:name w:val="WW8Num7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7" w:customStyle="1">
    <w:name w:val="WW8Num7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7z8" w:customStyle="1">
    <w:name w:val="WW8Num7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8z0" w:customStyle="1">
    <w:name w:val="WW8Num8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9z0" w:customStyle="1">
    <w:name w:val="WW8Num9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9z1" w:customStyle="1">
    <w:name w:val="WW8Num9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9z2" w:customStyle="1">
    <w:name w:val="WW8Num9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9z3" w:customStyle="1">
    <w:name w:val="WW8Num9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9z4" w:customStyle="1">
    <w:name w:val="WW8Num9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9z5" w:customStyle="1">
    <w:name w:val="WW8Num9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9z6" w:customStyle="1">
    <w:name w:val="WW8Num9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9z7" w:customStyle="1">
    <w:name w:val="WW8Num9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9z8" w:customStyle="1">
    <w:name w:val="WW8Num9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0z0" w:customStyle="1">
    <w:name w:val="WW8Num10z0"/>
    <w:qFormat/>
    <w:rPr>
      <w:b w:val="false"/>
      <w:w w:val="100"/>
      <w:position w:val="0"/>
      <w:sz w:val="20"/>
      <w:sz w:val="20"/>
      <w:effect w:val="none"/>
      <w:vertAlign w:val="baseline"/>
      <w:em w:val="none"/>
    </w:rPr>
  </w:style>
  <w:style w:type="character" w:styleId="WW8Num10z1" w:customStyle="1">
    <w:name w:val="WW8Num10z1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10z2" w:customStyle="1">
    <w:name w:val="WW8Num10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0z3" w:customStyle="1">
    <w:name w:val="WW8Num10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0z4" w:customStyle="1">
    <w:name w:val="WW8Num10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0z5" w:customStyle="1">
    <w:name w:val="WW8Num10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0z6" w:customStyle="1">
    <w:name w:val="WW8Num10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0z7" w:customStyle="1">
    <w:name w:val="WW8Num10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0z8" w:customStyle="1">
    <w:name w:val="WW8Num10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0" w:customStyle="1">
    <w:name w:val="WW8Num11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1" w:customStyle="1">
    <w:name w:val="WW8Num1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2" w:customStyle="1">
    <w:name w:val="WW8Num1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3" w:customStyle="1">
    <w:name w:val="WW8Num1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4" w:customStyle="1">
    <w:name w:val="WW8Num1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5" w:customStyle="1">
    <w:name w:val="WW8Num1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6" w:customStyle="1">
    <w:name w:val="WW8Num1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7" w:customStyle="1">
    <w:name w:val="WW8Num1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1z8" w:customStyle="1">
    <w:name w:val="WW8Num1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2z0" w:customStyle="1">
    <w:name w:val="WW8Num12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13z0" w:customStyle="1">
    <w:name w:val="WW8Num1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3z1" w:customStyle="1">
    <w:name w:val="WW8Num13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3z2" w:customStyle="1">
    <w:name w:val="WW8Num13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3z3" w:customStyle="1">
    <w:name w:val="WW8Num13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3z4" w:customStyle="1">
    <w:name w:val="WW8Num13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3z5" w:customStyle="1">
    <w:name w:val="WW8Num13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3z6" w:customStyle="1">
    <w:name w:val="WW8Num13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3z7" w:customStyle="1">
    <w:name w:val="WW8Num13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3z8" w:customStyle="1">
    <w:name w:val="WW8Num13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0" w:customStyle="1">
    <w:name w:val="WW8Num14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1" w:customStyle="1">
    <w:name w:val="WW8Num14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2" w:customStyle="1">
    <w:name w:val="WW8Num14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3" w:customStyle="1">
    <w:name w:val="WW8Num14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4" w:customStyle="1">
    <w:name w:val="WW8Num14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5" w:customStyle="1">
    <w:name w:val="WW8Num14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6" w:customStyle="1">
    <w:name w:val="WW8Num14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7" w:customStyle="1">
    <w:name w:val="WW8Num14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4z8" w:customStyle="1">
    <w:name w:val="WW8Num14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5z0" w:customStyle="1">
    <w:name w:val="WW8Num15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15z1" w:customStyle="1">
    <w:name w:val="WW8Num15z1"/>
    <w:qFormat/>
    <w:rPr>
      <w:b w:val="false"/>
      <w:w w:val="100"/>
      <w:position w:val="0"/>
      <w:sz w:val="20"/>
      <w:sz w:val="20"/>
      <w:effect w:val="none"/>
      <w:vertAlign w:val="baseline"/>
      <w:em w:val="none"/>
    </w:rPr>
  </w:style>
  <w:style w:type="character" w:styleId="WW8Num15z2" w:customStyle="1">
    <w:name w:val="WW8Num15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15z4" w:customStyle="1">
    <w:name w:val="WW8Num15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16z0" w:customStyle="1">
    <w:name w:val="WW8Num16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6z1" w:customStyle="1">
    <w:name w:val="WW8Num16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6z2" w:customStyle="1">
    <w:name w:val="WW8Num16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6z3" w:customStyle="1">
    <w:name w:val="WW8Num16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6z4" w:customStyle="1">
    <w:name w:val="WW8Num16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6z5" w:customStyle="1">
    <w:name w:val="WW8Num16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6z6" w:customStyle="1">
    <w:name w:val="WW8Num16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6z7" w:customStyle="1">
    <w:name w:val="WW8Num16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6z8" w:customStyle="1">
    <w:name w:val="WW8Num16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7z0" w:customStyle="1">
    <w:name w:val="WW8Num17z0"/>
    <w:qFormat/>
    <w:rPr>
      <w:b w:val="false"/>
      <w:w w:val="100"/>
      <w:position w:val="0"/>
      <w:sz w:val="20"/>
      <w:sz w:val="20"/>
      <w:effect w:val="none"/>
      <w:vertAlign w:val="baseline"/>
      <w:em w:val="none"/>
    </w:rPr>
  </w:style>
  <w:style w:type="character" w:styleId="WW8Num17z1" w:customStyle="1">
    <w:name w:val="WW8Num17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7z2" w:customStyle="1">
    <w:name w:val="WW8Num17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7z3" w:customStyle="1">
    <w:name w:val="WW8Num17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7z4" w:customStyle="1">
    <w:name w:val="WW8Num17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7z5" w:customStyle="1">
    <w:name w:val="WW8Num17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7z6" w:customStyle="1">
    <w:name w:val="WW8Num17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7z7" w:customStyle="1">
    <w:name w:val="WW8Num17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7z8" w:customStyle="1">
    <w:name w:val="WW8Num17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0" w:customStyle="1">
    <w:name w:val="WW8Num18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1" w:customStyle="1">
    <w:name w:val="WW8Num18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2" w:customStyle="1">
    <w:name w:val="WW8Num18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3" w:customStyle="1">
    <w:name w:val="WW8Num18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4" w:customStyle="1">
    <w:name w:val="WW8Num18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5" w:customStyle="1">
    <w:name w:val="WW8Num18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6" w:customStyle="1">
    <w:name w:val="WW8Num18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7" w:customStyle="1">
    <w:name w:val="WW8Num18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8z8" w:customStyle="1">
    <w:name w:val="WW8Num18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9z0" w:customStyle="1">
    <w:name w:val="WW8Num19z0"/>
    <w:qFormat/>
    <w:rPr>
      <w:rFonts w:ascii="Times New Roman" w:hAnsi="Times New Roman" w:eastAsia="Times New Roman" w:cs="Times New Roman"/>
      <w:w w:val="100"/>
      <w:position w:val="0"/>
      <w:sz w:val="20"/>
      <w:sz w:val="20"/>
      <w:effect w:val="none"/>
      <w:vertAlign w:val="baseline"/>
      <w:em w:val="none"/>
    </w:rPr>
  </w:style>
  <w:style w:type="character" w:styleId="WW8Num19z1" w:customStyle="1">
    <w:name w:val="WW8Num19z1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19z2" w:customStyle="1">
    <w:name w:val="WW8Num19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19z3" w:customStyle="1">
    <w:name w:val="WW8Num19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0z0" w:customStyle="1">
    <w:name w:val="WW8Num20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0z1" w:customStyle="1">
    <w:name w:val="WW8Num20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0z2" w:customStyle="1">
    <w:name w:val="WW8Num20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0z3" w:customStyle="1">
    <w:name w:val="WW8Num20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0z4" w:customStyle="1">
    <w:name w:val="WW8Num20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0z5" w:customStyle="1">
    <w:name w:val="WW8Num20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0z6" w:customStyle="1">
    <w:name w:val="WW8Num20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0z7" w:customStyle="1">
    <w:name w:val="WW8Num20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0z8" w:customStyle="1">
    <w:name w:val="WW8Num20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1z0" w:customStyle="1">
    <w:name w:val="WW8Num21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1z1" w:customStyle="1">
    <w:name w:val="WW8Num21z1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21z2" w:customStyle="1">
    <w:name w:val="WW8Num21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2z0" w:customStyle="1">
    <w:name w:val="WW8Num22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2z1" w:customStyle="1">
    <w:name w:val="WW8Num22z1"/>
    <w:qFormat/>
    <w:rPr>
      <w:b w:val="false"/>
      <w:w w:val="100"/>
      <w:position w:val="0"/>
      <w:sz w:val="20"/>
      <w:sz w:val="20"/>
      <w:effect w:val="none"/>
      <w:vertAlign w:val="baseline"/>
      <w:em w:val="none"/>
    </w:rPr>
  </w:style>
  <w:style w:type="character" w:styleId="WW8Num22z2" w:customStyle="1">
    <w:name w:val="WW8Num22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2z4" w:customStyle="1">
    <w:name w:val="WW8Num22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23z0" w:customStyle="1">
    <w:name w:val="WW8Num2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3z1" w:customStyle="1">
    <w:name w:val="WW8Num23z1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3z2" w:customStyle="1">
    <w:name w:val="WW8Num23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3z3" w:customStyle="1">
    <w:name w:val="WW8Num23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3z4" w:customStyle="1">
    <w:name w:val="WW8Num23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3z5" w:customStyle="1">
    <w:name w:val="WW8Num23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3z6" w:customStyle="1">
    <w:name w:val="WW8Num23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3z7" w:customStyle="1">
    <w:name w:val="WW8Num23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3z8" w:customStyle="1">
    <w:name w:val="WW8Num23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4z0" w:customStyle="1">
    <w:name w:val="WW8Num24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4z1" w:customStyle="1">
    <w:name w:val="WW8Num24z1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24z2" w:customStyle="1">
    <w:name w:val="WW8Num24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5z0" w:customStyle="1">
    <w:name w:val="WW8Num25z0"/>
    <w:qFormat/>
    <w:rPr>
      <w:rFonts w:ascii="Times New Roman" w:hAnsi="Times New Roman" w:eastAsia="Times New Roman" w:cs="Times New Roman"/>
      <w:w w:val="100"/>
      <w:position w:val="0"/>
      <w:sz w:val="20"/>
      <w:sz w:val="20"/>
      <w:effect w:val="none"/>
      <w:vertAlign w:val="baseline"/>
      <w:em w:val="none"/>
    </w:rPr>
  </w:style>
  <w:style w:type="character" w:styleId="WW8Num25z1" w:customStyle="1">
    <w:name w:val="WW8Num25z1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25z2" w:customStyle="1">
    <w:name w:val="WW8Num25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5z3" w:customStyle="1">
    <w:name w:val="WW8Num25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6z0" w:customStyle="1">
    <w:name w:val="WW8Num26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6z1" w:customStyle="1">
    <w:name w:val="WW8Num26z1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26z2" w:customStyle="1">
    <w:name w:val="WW8Num26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7z0" w:customStyle="1">
    <w:name w:val="WW8Num27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7z1" w:customStyle="1">
    <w:name w:val="WW8Num27z1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27z2" w:customStyle="1">
    <w:name w:val="WW8Num27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8z0" w:customStyle="1">
    <w:name w:val="WW8Num28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9z0" w:customStyle="1">
    <w:name w:val="WW8Num29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9z1" w:customStyle="1">
    <w:name w:val="WW8Num29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9z2" w:customStyle="1">
    <w:name w:val="WW8Num29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9z3" w:customStyle="1">
    <w:name w:val="WW8Num29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9z4" w:customStyle="1">
    <w:name w:val="WW8Num29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9z5" w:customStyle="1">
    <w:name w:val="WW8Num29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9z6" w:customStyle="1">
    <w:name w:val="WW8Num29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9z7" w:customStyle="1">
    <w:name w:val="WW8Num29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9z8" w:customStyle="1">
    <w:name w:val="WW8Num29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0" w:customStyle="1">
    <w:name w:val="WW8Num30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1" w:customStyle="1">
    <w:name w:val="WW8Num30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2" w:customStyle="1">
    <w:name w:val="WW8Num30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3" w:customStyle="1">
    <w:name w:val="WW8Num30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4" w:customStyle="1">
    <w:name w:val="WW8Num30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5" w:customStyle="1">
    <w:name w:val="WW8Num30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6" w:customStyle="1">
    <w:name w:val="WW8Num30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7" w:customStyle="1">
    <w:name w:val="WW8Num30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0z8" w:customStyle="1">
    <w:name w:val="WW8Num30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1z0" w:customStyle="1">
    <w:name w:val="WW8Num31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31z1" w:customStyle="1">
    <w:name w:val="WW8Num31z1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1z2" w:customStyle="1">
    <w:name w:val="WW8Num31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32z0" w:customStyle="1">
    <w:name w:val="WW8Num32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2z1" w:customStyle="1">
    <w:name w:val="WW8Num3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2z2" w:customStyle="1">
    <w:name w:val="WW8Num32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2z3" w:customStyle="1">
    <w:name w:val="WW8Num32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2z4" w:customStyle="1">
    <w:name w:val="WW8Num32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2z5" w:customStyle="1">
    <w:name w:val="WW8Num32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2z6" w:customStyle="1">
    <w:name w:val="WW8Num32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2z7" w:customStyle="1">
    <w:name w:val="WW8Num32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2z8" w:customStyle="1">
    <w:name w:val="WW8Num32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0" w:customStyle="1">
    <w:name w:val="WW8Num3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1" w:customStyle="1">
    <w:name w:val="WW8Num33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2" w:customStyle="1">
    <w:name w:val="WW8Num33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3" w:customStyle="1">
    <w:name w:val="WW8Num33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4" w:customStyle="1">
    <w:name w:val="WW8Num33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5" w:customStyle="1">
    <w:name w:val="WW8Num33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6" w:customStyle="1">
    <w:name w:val="WW8Num33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7" w:customStyle="1">
    <w:name w:val="WW8Num33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3z8" w:customStyle="1">
    <w:name w:val="WW8Num33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4z0" w:customStyle="1">
    <w:name w:val="WW8Num34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5z0" w:customStyle="1">
    <w:name w:val="WW8Num35z0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35z1" w:customStyle="1">
    <w:name w:val="WW8Num35z1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5z2" w:customStyle="1">
    <w:name w:val="WW8Num35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36z0" w:customStyle="1">
    <w:name w:val="WW8Num36z0"/>
    <w:qFormat/>
    <w:rPr>
      <w:rFonts w:ascii="Times New Roman" w:hAnsi="Times New Roman" w:eastAsia="Times New Roman" w:cs="Times New Roman"/>
      <w:w w:val="100"/>
      <w:position w:val="0"/>
      <w:sz w:val="20"/>
      <w:sz w:val="20"/>
      <w:effect w:val="none"/>
      <w:vertAlign w:val="baseline"/>
      <w:em w:val="none"/>
    </w:rPr>
  </w:style>
  <w:style w:type="character" w:styleId="WW8Num36z1" w:customStyle="1">
    <w:name w:val="WW8Num36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6z2" w:customStyle="1">
    <w:name w:val="WW8Num36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6z3" w:customStyle="1">
    <w:name w:val="WW8Num36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6z4" w:customStyle="1">
    <w:name w:val="WW8Num36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6z5" w:customStyle="1">
    <w:name w:val="WW8Num36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6z6" w:customStyle="1">
    <w:name w:val="WW8Num36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6z7" w:customStyle="1">
    <w:name w:val="WW8Num36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36z8" w:customStyle="1">
    <w:name w:val="WW8Num36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predefinitoparagrafo1" w:customStyle="1">
    <w:name w:val="Car. predefinito paragrafo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Pagenumber">
    <w:name w:val="page number"/>
    <w:basedOn w:val="Carpredefinitoparagrafo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Hyperlink" w:customStyle="1">
    <w:name w:val="Hyperlink"/>
    <w:rPr>
      <w:color w:val="000080"/>
      <w:u w:val="single"/>
    </w:rPr>
  </w:style>
  <w:style w:type="character" w:styleId="Caratterinotaapidipagina" w:customStyle="1">
    <w:name w:val="Caratteri nota a piè di pagina"/>
    <w:qFormat/>
    <w:rPr>
      <w:w w:val="100"/>
      <w:effect w:val="none"/>
      <w:vertAlign w:val="superscript"/>
      <w:em w:val="none"/>
    </w:rPr>
  </w:style>
  <w:style w:type="character" w:styleId="Emphasis" w:customStyle="1">
    <w:name w:val="Emphasis"/>
    <w:qFormat/>
    <w:rPr>
      <w:i/>
      <w:iCs/>
      <w:w w:val="100"/>
      <w:position w:val="0"/>
      <w:sz w:val="20"/>
      <w:sz w:val="20"/>
      <w:effect w:val="none"/>
      <w:vertAlign w:val="baseline"/>
      <w:em w:val="none"/>
    </w:rPr>
  </w:style>
  <w:style w:type="character" w:styleId="IntestazioneCarattere" w:customStyle="1">
    <w:name w:val="Intestazione Carattere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atteridinumerazione" w:customStyle="1">
    <w:name w:val="Caratteri di numerazione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Punti" w:customStyle="1">
    <w:name w:val="Punti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0" w:customStyle="1">
    <w:name w:val="List13Level0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1" w:customStyle="1">
    <w:name w:val="List13Level1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2" w:customStyle="1">
    <w:name w:val="List13Level2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3" w:customStyle="1">
    <w:name w:val="List13Level3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4" w:customStyle="1">
    <w:name w:val="List13Level4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5" w:customStyle="1">
    <w:name w:val="List13Level5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6" w:customStyle="1">
    <w:name w:val="List13Level6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7" w:customStyle="1">
    <w:name w:val="List13Level7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character" w:styleId="List13Level8" w:customStyle="1">
    <w:name w:val="List13Level8"/>
    <w:qFormat/>
    <w:rPr>
      <w:rFonts w:ascii="OpenSymbol" w:hAnsi="OpenSymbol" w:eastAsia="OpenSymbol" w:cs="OpenSymbol"/>
      <w:w w:val="100"/>
      <w:position w:val="0"/>
      <w:sz w:val="20"/>
      <w:sz w:val="20"/>
      <w:effect w:val="none"/>
      <w:vertAlign w:val="baseline"/>
      <w:em w:val="non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qFormat/>
    <w:pPr>
      <w:spacing w:before="0" w:after="120"/>
    </w:pPr>
    <w:rPr/>
  </w:style>
  <w:style w:type="paragraph" w:styleId="List">
    <w:name w:val="List"/>
    <w:basedOn w:val="Normal"/>
    <w:qFormat/>
    <w:pPr>
      <w:ind w:hanging="283" w:left="283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Title">
    <w:name w:val="Title"/>
    <w:basedOn w:val="LO-normal"/>
    <w:next w:val="BodyText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1">
    <w:name w:val="caption1"/>
    <w:basedOn w:val="Normal"/>
    <w:next w:val="Normal"/>
    <w:qFormat/>
    <w:pPr>
      <w:spacing w:lineRule="auto" w:line="360"/>
      <w:ind w:hanging="1134"/>
      <w:jc w:val="center"/>
    </w:pPr>
    <w:rPr>
      <w:rFonts w:ascii="Arial" w:hAnsi="Arial"/>
      <w:b/>
      <w:spacing w:val="100"/>
      <w:sz w:val="40"/>
    </w:rPr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it-IT" w:eastAsia="zh-CN" w:bidi="hi-IN"/>
    </w:rPr>
  </w:style>
  <w:style w:type="paragraph" w:styleId="Titolo2" w:customStyle="1">
    <w:name w:val="Titolo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Intestazioneepidipagina" w:customStyle="1">
    <w:name w:val="Intestazione e piè di pagin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Subtitle">
    <w:name w:val="Subtitle"/>
    <w:basedOn w:val="LO-normal"/>
    <w:next w:val="LO-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itolo1" w:customStyle="1">
    <w:name w:val="Titolo1"/>
    <w:basedOn w:val="Normal"/>
    <w:next w:val="BodyText"/>
    <w:qFormat/>
    <w:pPr>
      <w:spacing w:before="240" w:after="60"/>
      <w:jc w:val="center"/>
    </w:pPr>
    <w:rPr>
      <w:rFonts w:ascii="Arial" w:hAnsi="Arial"/>
      <w:b/>
      <w:kern w:val="2"/>
      <w:sz w:val="32"/>
    </w:rPr>
  </w:style>
  <w:style w:type="paragraph" w:styleId="Rigadintestazione" w:customStyle="1">
    <w:name w:val="Riga d'intestazione"/>
    <w:basedOn w:val="Normal"/>
    <w:qFormat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qFormat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Intestazionemessaggio1" w:customStyle="1">
    <w:name w:val="Intestazione messaggio1"/>
    <w:basedOn w:val="Normal"/>
    <w:qFormat/>
    <w:pPr>
      <w:ind w:hanging="1134" w:left="1134"/>
    </w:pPr>
    <w:rPr>
      <w:rFonts w:ascii="Arial" w:hAnsi="Arial"/>
      <w:sz w:val="24"/>
    </w:rPr>
  </w:style>
  <w:style w:type="paragraph" w:styleId="BodyTextIndent">
    <w:name w:val="Body Text Indent"/>
    <w:basedOn w:val="Normal"/>
    <w:qFormat/>
    <w:pPr>
      <w:spacing w:before="0" w:after="120"/>
      <w:ind w:hanging="0" w:left="283"/>
    </w:pPr>
    <w:rPr/>
  </w:style>
  <w:style w:type="paragraph" w:styleId="Corpodeltesto31" w:customStyle="1">
    <w:name w:val="Corpo del testo 31"/>
    <w:basedOn w:val="BodyTextIndent"/>
    <w:qFormat/>
    <w:pPr/>
    <w:rPr/>
  </w:style>
  <w:style w:type="paragraph" w:styleId="Corpodeltesto21" w:customStyle="1">
    <w:name w:val="Corpo del testo 21"/>
    <w:basedOn w:val="Normal"/>
    <w:qFormat/>
    <w:pPr>
      <w:tabs>
        <w:tab w:val="clear" w:pos="720"/>
        <w:tab w:val="left" w:pos="0" w:leader="none"/>
      </w:tabs>
      <w:spacing w:lineRule="auto" w:line="360"/>
      <w:jc w:val="both"/>
    </w:pPr>
    <w:rPr>
      <w:rFonts w:ascii="Arial" w:hAnsi="Arial"/>
      <w:sz w:val="24"/>
    </w:rPr>
  </w:style>
  <w:style w:type="paragraph" w:styleId="Rientrocorpodeltesto21" w:customStyle="1">
    <w:name w:val="Rientro corpo del testo 21"/>
    <w:basedOn w:val="Normal"/>
    <w:qFormat/>
    <w:pPr>
      <w:spacing w:lineRule="auto" w:line="360"/>
      <w:ind w:firstLine="709"/>
      <w:jc w:val="both"/>
    </w:pPr>
    <w:rPr>
      <w:sz w:val="24"/>
    </w:rPr>
  </w:style>
  <w:style w:type="paragraph" w:styleId="Rientrocorpodeltesto31" w:customStyle="1">
    <w:name w:val="Rientro corpo del testo 31"/>
    <w:basedOn w:val="Normal"/>
    <w:qFormat/>
    <w:pPr>
      <w:spacing w:lineRule="auto" w:line="360"/>
      <w:ind w:firstLine="709"/>
    </w:pPr>
    <w:rPr>
      <w:sz w:val="24"/>
    </w:rPr>
  </w:style>
  <w:style w:type="paragraph" w:styleId="FootnoteText">
    <w:name w:val="Footnote Text"/>
    <w:basedOn w:val="Normal"/>
    <w:qFormat/>
    <w:pPr/>
    <w:rPr/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paragraph" w:styleId="Testo" w:customStyle="1">
    <w:name w:val="testo"/>
    <w:basedOn w:val="Normal"/>
    <w:qFormat/>
    <w:pPr>
      <w:spacing w:before="88" w:after="100"/>
      <w:ind w:hanging="0" w:left="281" w:right="281"/>
      <w:jc w:val="both"/>
    </w:pPr>
    <w:rPr>
      <w:rFonts w:ascii="Verdana" w:hAnsi="Verdana" w:cs="Verdana"/>
      <w:color w:val="000000"/>
      <w:sz w:val="19"/>
      <w:szCs w:val="19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ontenutocornice" w:customStyle="1">
    <w:name w:val="Contenuto cornice"/>
    <w:basedOn w:val="Normal"/>
    <w:qFormat/>
    <w:pPr/>
    <w:rPr/>
  </w:style>
  <w:style w:type="paragraph" w:styleId="ListParagraph">
    <w:name w:val="List Paragraph"/>
    <w:basedOn w:val="Normal"/>
    <w:uiPriority w:val="1"/>
    <w:qFormat/>
    <w:pPr>
      <w:spacing w:before="0" w:after="200"/>
      <w:ind w:hanging="0" w:left="720"/>
    </w:pPr>
    <w:rPr/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paragraph" w:styleId="Default" w:customStyle="1">
    <w:name w:val="Default"/>
    <w:qFormat/>
    <w:rsid w:val="004c2b7f"/>
    <w:pPr>
      <w:widowControl/>
      <w:suppressAutoHyphens w:val="false"/>
      <w:bidi w:val="0"/>
      <w:spacing w:before="0" w:after="0"/>
      <w:jc w:val="left"/>
    </w:pPr>
    <w:rPr>
      <w:rFonts w:ascii="Calibri" w:hAnsi="Calibri" w:eastAsia="Cambria" w:cs="Calibri" w:eastAsiaTheme="minorHAnsi"/>
      <w:color w:val="000000"/>
      <w:kern w:val="0"/>
      <w:sz w:val="24"/>
      <w:szCs w:val="24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59"/>
    <w:unhideWhenUsed/>
    <w:rsid w:val="00a13cd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ev4Md9k3Y3oviaO1lI8KLV2KZpw==">AMUW2mXm/l9Twn7cI/HGajDpzYl4CzIuIR3YLnmYTgBHT149O913DZ1/YEN51buAviTZlEiXOxAQRdwXSzU/tA9jAO9Aufoj45N73YZRHwtXQmbz40h1pGs=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Application>LibreOffice/7.6.5.2$Windows_X86_64 LibreOffice_project/38d5f62f85355c192ef5f1dd47c5c0c0c6d6598b</Application>
  <AppVersion>15.0000</AppVersion>
  <Pages>4</Pages>
  <Words>1295</Words>
  <Characters>7563</Characters>
  <CharactersWithSpaces>9062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2024-04-16T11:39:00Z</dcterms:created>
  <dc:creator>Giraudo Bruno</dc:creator>
  <dc:description/>
  <dc:language>it-IT</dc:language>
  <cp:lastModifiedBy/>
  <cp:lastPrinted>2022-09-29T16:23:00Z</cp:lastPrinted>
  <dcterms:modified xsi:type="dcterms:W3CDTF">2025-08-14T09:05:26Z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