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A27" w:rsidRDefault="00FA52AF">
      <w:pPr>
        <w:tabs>
          <w:tab w:val="left" w:pos="7230"/>
        </w:tabs>
        <w:jc w:val="center"/>
        <w:rPr>
          <w:iCs/>
          <w:color w:val="auto"/>
          <w:spacing w:val="-20"/>
          <w:sz w:val="56"/>
          <w:szCs w:val="56"/>
        </w:rPr>
      </w:pPr>
      <w:r>
        <w:rPr>
          <w:noProof/>
          <w:lang w:eastAsia="it-IT"/>
        </w:rPr>
        <w:drawing>
          <wp:inline distT="0" distB="0" distL="0" distR="0">
            <wp:extent cx="451485" cy="69215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7"/>
                    <a:stretch>
                      <a:fillRect/>
                    </a:stretch>
                  </pic:blipFill>
                  <pic:spPr bwMode="auto">
                    <a:xfrm>
                      <a:off x="0" y="0"/>
                      <a:ext cx="451485" cy="692150"/>
                    </a:xfrm>
                    <a:prstGeom prst="rect">
                      <a:avLst/>
                    </a:prstGeom>
                  </pic:spPr>
                </pic:pic>
              </a:graphicData>
            </a:graphic>
          </wp:inline>
        </w:drawing>
      </w:r>
    </w:p>
    <w:p w:rsidR="009D1A27" w:rsidRDefault="00FA52AF">
      <w:pPr>
        <w:tabs>
          <w:tab w:val="left" w:pos="7230"/>
        </w:tabs>
        <w:jc w:val="center"/>
        <w:rPr>
          <w:iCs/>
          <w:color w:val="auto"/>
          <w:spacing w:val="-20"/>
          <w:sz w:val="56"/>
          <w:szCs w:val="56"/>
        </w:rPr>
      </w:pPr>
      <w:r>
        <w:rPr>
          <w:iCs/>
          <w:color w:val="auto"/>
          <w:spacing w:val="-20"/>
          <w:sz w:val="56"/>
          <w:szCs w:val="56"/>
        </w:rPr>
        <w:t xml:space="preserve">Libero Consorzio Comunale di Siracusa </w:t>
      </w:r>
    </w:p>
    <w:p w:rsidR="009D1A27" w:rsidRDefault="00FA52AF">
      <w:pPr>
        <w:pStyle w:val="DefaultText"/>
        <w:tabs>
          <w:tab w:val="left" w:pos="6804"/>
        </w:tabs>
        <w:jc w:val="center"/>
        <w:rPr>
          <w:rFonts w:ascii="Times New Roman" w:hAnsi="Times New Roman"/>
          <w:b w:val="0"/>
          <w:i/>
          <w:sz w:val="28"/>
          <w:szCs w:val="28"/>
        </w:rPr>
      </w:pPr>
      <w:r>
        <w:rPr>
          <w:sz w:val="28"/>
          <w:szCs w:val="28"/>
        </w:rPr>
        <w:t>8° Settore – Viabilità</w:t>
      </w:r>
    </w:p>
    <w:p w:rsidR="009D1A27" w:rsidRDefault="009D1A27">
      <w:pPr>
        <w:jc w:val="center"/>
        <w:rPr>
          <w:color w:val="auto"/>
          <w:sz w:val="28"/>
          <w:szCs w:val="28"/>
        </w:rPr>
      </w:pPr>
    </w:p>
    <w:p w:rsidR="009D1A27" w:rsidRDefault="009D1A27">
      <w:pPr>
        <w:jc w:val="center"/>
        <w:rPr>
          <w:color w:val="auto"/>
        </w:rPr>
      </w:pPr>
    </w:p>
    <w:p w:rsidR="009D1A27" w:rsidRDefault="009D1A27">
      <w:pPr>
        <w:jc w:val="center"/>
        <w:rPr>
          <w:color w:val="auto"/>
        </w:rPr>
      </w:pPr>
    </w:p>
    <w:p w:rsidR="009D1A27" w:rsidRDefault="00FA52AF">
      <w:pPr>
        <w:shd w:val="clear" w:color="auto" w:fill="FFFFFF"/>
        <w:tabs>
          <w:tab w:val="left" w:pos="33"/>
          <w:tab w:val="left" w:pos="8618"/>
        </w:tabs>
        <w:ind w:left="33" w:hanging="33"/>
        <w:jc w:val="both"/>
        <w:rPr>
          <w:b/>
          <w:bCs/>
        </w:rPr>
      </w:pPr>
      <w:r>
        <w:rPr>
          <w:b/>
        </w:rPr>
        <w:t>Oggetto:</w:t>
      </w:r>
      <w:r>
        <w:t xml:space="preserve"> D.M. n. 101 del 26/04/2022 e n. 95 del 30/06/2025 – Annualità 2028. “</w:t>
      </w:r>
      <w:r>
        <w:rPr>
          <w:color w:val="1C2024"/>
          <w:shd w:val="clear" w:color="auto" w:fill="FFFFFF"/>
        </w:rPr>
        <w:t xml:space="preserve">Lavori di manutenzione straordinaria per il miglioramento delle condizioni di sicurezza  degli impianti di </w:t>
      </w:r>
      <w:r>
        <w:rPr>
          <w:color w:val="1C2024"/>
          <w:shd w:val="clear" w:color="auto" w:fill="FFFFFF"/>
        </w:rPr>
        <w:t>pubblica illuminazione sulle SS.PP. 59 e 34</w:t>
      </w:r>
      <w:r>
        <w:t xml:space="preserve">“, dell'importo complessivo di € 227.360,09. - </w:t>
      </w:r>
    </w:p>
    <w:p w:rsidR="009D1A27" w:rsidRDefault="00FA52AF">
      <w:pPr>
        <w:shd w:val="clear" w:color="auto" w:fill="FFFFFF"/>
        <w:tabs>
          <w:tab w:val="left" w:pos="33"/>
          <w:tab w:val="left" w:pos="8618"/>
        </w:tabs>
        <w:ind w:left="33" w:hanging="33"/>
        <w:jc w:val="both"/>
      </w:pPr>
      <w:r>
        <w:t>CUP: E57H24000820001 - CIG: B85281E91E.</w:t>
      </w:r>
    </w:p>
    <w:p w:rsidR="009D1A27" w:rsidRDefault="009D1A27">
      <w:pPr>
        <w:tabs>
          <w:tab w:val="left" w:pos="33"/>
          <w:tab w:val="left" w:pos="8618"/>
        </w:tabs>
        <w:ind w:left="33" w:hanging="33"/>
        <w:jc w:val="both"/>
        <w:rPr>
          <w:color w:val="auto"/>
        </w:rPr>
      </w:pPr>
    </w:p>
    <w:p w:rsidR="009D1A27" w:rsidRDefault="009D1A27">
      <w:pPr>
        <w:tabs>
          <w:tab w:val="left" w:pos="33"/>
          <w:tab w:val="left" w:pos="8618"/>
        </w:tabs>
        <w:ind w:left="33" w:hanging="33"/>
        <w:jc w:val="both"/>
        <w:rPr>
          <w:color w:val="auto"/>
        </w:rPr>
      </w:pPr>
    </w:p>
    <w:p w:rsidR="009D1A27" w:rsidRDefault="009D1A27">
      <w:pPr>
        <w:tabs>
          <w:tab w:val="left" w:pos="33"/>
          <w:tab w:val="left" w:pos="8618"/>
        </w:tabs>
        <w:ind w:left="33" w:hanging="33"/>
        <w:jc w:val="both"/>
        <w:rPr>
          <w:color w:val="auto"/>
        </w:rPr>
      </w:pPr>
    </w:p>
    <w:p w:rsidR="009D1A27" w:rsidRDefault="009D1A27">
      <w:pPr>
        <w:tabs>
          <w:tab w:val="left" w:pos="33"/>
          <w:tab w:val="left" w:pos="8618"/>
        </w:tabs>
        <w:ind w:left="33" w:hanging="33"/>
        <w:jc w:val="both"/>
        <w:rPr>
          <w:color w:val="auto"/>
        </w:rPr>
      </w:pPr>
    </w:p>
    <w:p w:rsidR="009D1A27" w:rsidRDefault="009D1A27">
      <w:pPr>
        <w:tabs>
          <w:tab w:val="left" w:pos="33"/>
          <w:tab w:val="left" w:pos="8618"/>
        </w:tabs>
        <w:ind w:left="33" w:hanging="33"/>
        <w:jc w:val="both"/>
        <w:rPr>
          <w:color w:val="auto"/>
        </w:rPr>
      </w:pPr>
    </w:p>
    <w:p w:rsidR="009D1A27" w:rsidRDefault="00FA52AF">
      <w:pPr>
        <w:jc w:val="center"/>
        <w:rPr>
          <w:rFonts w:eastAsia="PalatinoLinotype-Bold"/>
          <w:b/>
          <w:bCs/>
          <w:color w:val="auto"/>
          <w:u w:val="single"/>
        </w:rPr>
      </w:pPr>
      <w:r>
        <w:rPr>
          <w:rFonts w:eastAsia="PalatinoLinotype-Bold"/>
          <w:b/>
          <w:bCs/>
          <w:color w:val="auto"/>
          <w:u w:val="single"/>
        </w:rPr>
        <w:t>LETTERA DI INVITO - DISCIPLINARE DI GARA</w:t>
      </w:r>
    </w:p>
    <w:p w:rsidR="009D1A27" w:rsidRDefault="00FA52AF">
      <w:pPr>
        <w:jc w:val="center"/>
        <w:rPr>
          <w:color w:val="auto"/>
        </w:rPr>
      </w:pPr>
      <w:r>
        <w:rPr>
          <w:color w:val="auto"/>
        </w:rPr>
        <w:t xml:space="preserve">attestazione richiesta (SOA) categoria prevalente OG10 </w:t>
      </w:r>
      <w:proofErr w:type="spellStart"/>
      <w:r>
        <w:rPr>
          <w:color w:val="auto"/>
        </w:rPr>
        <w:t>class</w:t>
      </w:r>
      <w:proofErr w:type="spellEnd"/>
      <w:r>
        <w:rPr>
          <w:color w:val="auto"/>
        </w:rPr>
        <w:t>. 1^</w:t>
      </w:r>
    </w:p>
    <w:p w:rsidR="009D1A27" w:rsidRDefault="009D1A27">
      <w:pPr>
        <w:rPr>
          <w:rFonts w:eastAsia="PalatinoLinotype-Bold"/>
          <w:b/>
          <w:bCs/>
          <w:color w:val="auto"/>
        </w:rPr>
      </w:pPr>
    </w:p>
    <w:p w:rsidR="009D1A27" w:rsidRDefault="00FA52AF">
      <w:pPr>
        <w:rPr>
          <w:rFonts w:eastAsia="PalatinoLinotype-Bold"/>
          <w:b/>
          <w:bCs/>
          <w:color w:val="auto"/>
        </w:rPr>
      </w:pPr>
      <w:r>
        <w:br w:type="page"/>
      </w:r>
    </w:p>
    <w:p w:rsidR="009D1A27" w:rsidRDefault="00FA52AF">
      <w:pPr>
        <w:shd w:val="clear" w:color="auto" w:fill="FFFFFF"/>
        <w:jc w:val="both"/>
      </w:pPr>
      <w:r>
        <w:lastRenderedPageBreak/>
        <w:t>Si comunica</w:t>
      </w:r>
      <w:r>
        <w:t xml:space="preserve"> che quest’Amministrazione deve procedere all'affidamento </w:t>
      </w:r>
      <w:r>
        <w:rPr>
          <w:color w:val="auto"/>
        </w:rPr>
        <w:t xml:space="preserve">dell’intervento in parola ai sensi del </w:t>
      </w:r>
      <w:proofErr w:type="spellStart"/>
      <w:r>
        <w:rPr>
          <w:color w:val="auto"/>
        </w:rPr>
        <w:t>D.lgs</w:t>
      </w:r>
      <w:proofErr w:type="spellEnd"/>
      <w:r>
        <w:rPr>
          <w:color w:val="auto"/>
        </w:rPr>
        <w:t xml:space="preserve"> 36/2023, mediante procedura negoziata ai sensi dell'art. 50 comma 1 </w:t>
      </w:r>
      <w:proofErr w:type="spellStart"/>
      <w:r>
        <w:rPr>
          <w:color w:val="auto"/>
        </w:rPr>
        <w:t>lett</w:t>
      </w:r>
      <w:proofErr w:type="spellEnd"/>
      <w:r>
        <w:rPr>
          <w:color w:val="auto"/>
        </w:rPr>
        <w:t xml:space="preserve">. c) del </w:t>
      </w:r>
      <w:proofErr w:type="spellStart"/>
      <w:r>
        <w:rPr>
          <w:color w:val="auto"/>
        </w:rPr>
        <w:t>D.lgs</w:t>
      </w:r>
      <w:proofErr w:type="spellEnd"/>
      <w:r>
        <w:rPr>
          <w:color w:val="auto"/>
        </w:rPr>
        <w:t xml:space="preserve"> 36/2023, (affidamento lavori di importo pari o superiore a 150.000</w:t>
      </w:r>
      <w:r>
        <w:rPr>
          <w:color w:val="auto"/>
        </w:rPr>
        <w:t xml:space="preserve"> euro e inferiore a 1.000</w:t>
      </w:r>
      <w:r>
        <w:t>.000 di euro).</w:t>
      </w:r>
    </w:p>
    <w:p w:rsidR="009D1A27" w:rsidRDefault="00FA52AF">
      <w:pPr>
        <w:shd w:val="clear" w:color="auto" w:fill="FFFFFF"/>
        <w:jc w:val="center"/>
        <w:rPr>
          <w:b/>
        </w:rPr>
      </w:pPr>
      <w:r>
        <w:rPr>
          <w:b/>
        </w:rPr>
        <w:t>Si invita codesta Impresa</w:t>
      </w:r>
    </w:p>
    <w:p w:rsidR="009D1A27" w:rsidRDefault="009D1A27">
      <w:pPr>
        <w:shd w:val="clear" w:color="auto" w:fill="FFFFFF"/>
        <w:jc w:val="both"/>
      </w:pPr>
    </w:p>
    <w:p w:rsidR="009D1A27" w:rsidRDefault="00FA52AF">
      <w:pPr>
        <w:shd w:val="clear" w:color="auto" w:fill="FFFFFF"/>
        <w:jc w:val="both"/>
      </w:pPr>
      <w:r>
        <w:t>a partecipare alla predetta gara fissata per il giorno 17/12/2025 a partire dalle ore 08:30 le cui operazioni avranno luogo negli uffici del Libero Consorzio Comunale di Siracusa, nella sede distaccata di Via Malta n. 106 a Siracusa. Il capitolato speciale</w:t>
      </w:r>
      <w:r>
        <w:t xml:space="preserve"> d'appalto e tutti gli altri elaborati tecnici possono essere consultati virtualmente sulla piattaforma “TUTTOGARE” all’indirizzo </w:t>
      </w:r>
      <w:hyperlink r:id="rId8">
        <w:bookmarkStart w:id="0" w:name="_Hlk172883890"/>
        <w:r>
          <w:rPr>
            <w:rStyle w:val="Collegamentoipertestuale"/>
          </w:rPr>
          <w:t>https://lccsiracusa.tuttogare.it/</w:t>
        </w:r>
      </w:hyperlink>
      <w:bookmarkEnd w:id="0"/>
    </w:p>
    <w:p w:rsidR="009D1A27" w:rsidRDefault="009D1A27">
      <w:pPr>
        <w:shd w:val="clear" w:color="auto" w:fill="FFFFFF"/>
        <w:jc w:val="both"/>
        <w:rPr>
          <w:sz w:val="16"/>
          <w:szCs w:val="16"/>
        </w:rPr>
      </w:pPr>
    </w:p>
    <w:p w:rsidR="009D1A27" w:rsidRDefault="00FA52AF">
      <w:pPr>
        <w:shd w:val="clear" w:color="auto" w:fill="FFFFFF"/>
        <w:jc w:val="both"/>
        <w:rPr>
          <w:i/>
        </w:rPr>
      </w:pPr>
      <w:r>
        <w:tab/>
        <w:t xml:space="preserve">Per essere ammessa alla gara codesta </w:t>
      </w:r>
      <w:r>
        <w:t>Impresa dovrà far pervenire,</w:t>
      </w:r>
      <w:r>
        <w:rPr>
          <w:b/>
          <w:i/>
        </w:rPr>
        <w:t xml:space="preserve"> attraverso il sistema di intermediazione telematica </w:t>
      </w:r>
      <w:r>
        <w:rPr>
          <w:b/>
        </w:rPr>
        <w:t xml:space="preserve">“TUTTOGARE” in dotazione all’Ente, all’indirizzo: </w:t>
      </w:r>
      <w:hyperlink r:id="rId9">
        <w:r>
          <w:rPr>
            <w:rStyle w:val="Collegamentoipertestuale"/>
          </w:rPr>
          <w:t>https://lccsiracusa.tuttogare.it/</w:t>
        </w:r>
      </w:hyperlink>
      <w:r>
        <w:rPr>
          <w:rStyle w:val="Collegamentoipertestuale"/>
        </w:rPr>
        <w:t xml:space="preserve"> </w:t>
      </w:r>
      <w:r>
        <w:t xml:space="preserve">A PENA DI ESCLUSIONE NON OLTRE LE ORE </w:t>
      </w:r>
      <w:r>
        <w:t xml:space="preserve">12:30 DEL giorno 16/12/2025, i plichi virtuali di partecipazione, contenenti quanto previsto all’art. 15 del Disciplinare di gara </w:t>
      </w:r>
      <w:r>
        <w:rPr>
          <w:i/>
        </w:rPr>
        <w:t>(art. 15. MODALITA’ DI PRESENTAZIONE E CRITERI DI AMMISSIBILITA’ DELLE OFFERTE)</w:t>
      </w:r>
    </w:p>
    <w:p w:rsidR="009D1A27" w:rsidRDefault="009D1A27">
      <w:pPr>
        <w:shd w:val="clear" w:color="auto" w:fill="FFFFFF"/>
        <w:jc w:val="both"/>
        <w:rPr>
          <w:sz w:val="16"/>
          <w:szCs w:val="16"/>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OGGETTO DELL’APPALTO</w:t>
      </w:r>
    </w:p>
    <w:p w:rsidR="009D1A27" w:rsidRDefault="00FA52AF">
      <w:pPr>
        <w:tabs>
          <w:tab w:val="left" w:pos="567"/>
          <w:tab w:val="decimal" w:pos="6663"/>
          <w:tab w:val="decimal" w:pos="9214"/>
        </w:tabs>
        <w:jc w:val="both"/>
        <w:rPr>
          <w:b/>
          <w:sz w:val="16"/>
          <w:szCs w:val="16"/>
        </w:rPr>
      </w:pPr>
      <w:r>
        <w:rPr>
          <w:b/>
        </w:rPr>
        <w:t>1.1</w:t>
      </w:r>
      <w:r>
        <w:t xml:space="preserve"> Il progetto del dett</w:t>
      </w:r>
      <w:r>
        <w:t xml:space="preserve">o intervento, datato 22/08/2025, con oggetto: </w:t>
      </w:r>
      <w:r>
        <w:rPr>
          <w:b/>
        </w:rPr>
        <w:t>Decreto n. 101 del 26/04/2022 e n. 95 del 30/06/2025 – Annualità 2028 –“Lavori di manutenzione straordinaria per il miglioramento delle condizioni di sicurezza degli impianti di pubblica illuminazione sulle SS.</w:t>
      </w:r>
      <w:r>
        <w:rPr>
          <w:b/>
        </w:rPr>
        <w:t>PP. 59 E 34” dell’importo complessivo di € 227.360,09.</w:t>
      </w:r>
    </w:p>
    <w:p w:rsidR="009D1A27" w:rsidRDefault="00FA52AF">
      <w:pPr>
        <w:ind w:left="66"/>
        <w:jc w:val="both"/>
        <w:rPr>
          <w:color w:val="auto"/>
        </w:rPr>
      </w:pPr>
      <w:r>
        <w:rPr>
          <w:b/>
        </w:rPr>
        <w:t xml:space="preserve">1.2 Tipo di appalto e luogo di esecuzione: </w:t>
      </w:r>
      <w:r>
        <w:t xml:space="preserve">appalto di sola esecuzione lavori, territorio dei </w:t>
      </w:r>
      <w:r>
        <w:rPr>
          <w:lang w:eastAsia="it-IT"/>
        </w:rPr>
        <w:t xml:space="preserve">Comuni </w:t>
      </w:r>
      <w:r>
        <w:rPr>
          <w:color w:val="auto"/>
          <w:lang w:eastAsia="it-IT"/>
        </w:rPr>
        <w:t>di Avola-Noto</w:t>
      </w:r>
      <w:r>
        <w:rPr>
          <w:color w:val="auto"/>
        </w:rPr>
        <w:t>;</w:t>
      </w:r>
    </w:p>
    <w:p w:rsidR="009D1A27" w:rsidRDefault="009D1A27">
      <w:pPr>
        <w:tabs>
          <w:tab w:val="left" w:pos="567"/>
          <w:tab w:val="decimal" w:pos="6663"/>
          <w:tab w:val="decimal" w:pos="9214"/>
        </w:tabs>
        <w:ind w:left="360"/>
        <w:jc w:val="both"/>
        <w:rPr>
          <w:sz w:val="16"/>
          <w:szCs w:val="16"/>
          <w:lang w:eastAsia="it-IT"/>
        </w:rPr>
      </w:pPr>
    </w:p>
    <w:p w:rsidR="009D1A27" w:rsidRDefault="00FA52AF">
      <w:pPr>
        <w:widowControl w:val="0"/>
        <w:shd w:val="clear" w:color="auto" w:fill="FFFFFF"/>
        <w:jc w:val="both"/>
      </w:pPr>
      <w:r>
        <w:rPr>
          <w:b/>
        </w:rPr>
        <w:t>1.3</w:t>
      </w:r>
      <w:r>
        <w:t xml:space="preserve"> L'ammissione alla gara è riservata alle Imprese individuate tra quelle iscritte a</w:t>
      </w:r>
      <w:r>
        <w:t xml:space="preserve">ll’Elenco regionale di cui al link </w:t>
      </w:r>
      <w:hyperlink r:id="rId10">
        <w:r>
          <w:rPr>
            <w:rStyle w:val="Collegamentoipertestuale"/>
          </w:rPr>
          <w:t>https://appalti.regionesiciliana.lavoripubblici.sicilia.it</w:t>
        </w:r>
      </w:hyperlink>
      <w:r>
        <w:t>;</w:t>
      </w:r>
    </w:p>
    <w:p w:rsidR="009D1A27" w:rsidRDefault="009D1A27">
      <w:pPr>
        <w:shd w:val="clear" w:color="auto" w:fill="FFFFFF"/>
        <w:jc w:val="both"/>
        <w:rPr>
          <w:i/>
          <w:sz w:val="16"/>
          <w:szCs w:val="16"/>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STAZIONE APPALTANTE:</w:t>
      </w:r>
    </w:p>
    <w:p w:rsidR="009D1A27" w:rsidRDefault="00FA52AF">
      <w:pPr>
        <w:widowControl w:val="0"/>
        <w:shd w:val="clear" w:color="auto" w:fill="FFFFFF"/>
        <w:jc w:val="both"/>
      </w:pPr>
      <w:r>
        <w:rPr>
          <w:b/>
        </w:rPr>
        <w:t>2.1</w:t>
      </w:r>
      <w:r>
        <w:t xml:space="preserve"> Libero Consorzio Comunale di Siracusa - Settore VII Appa</w:t>
      </w:r>
      <w:r>
        <w:t>lti, Opere Pubbliche e Forniture di Beni e Servizi (Centrale Unica di Committenza) e Contratti, Via Malta n. 106, 96100 Siracusa Tel. 0931 709 109, sito internet http://www.provincia.siracusa.it;</w:t>
      </w:r>
    </w:p>
    <w:p w:rsidR="009D1A27" w:rsidRDefault="009D1A27">
      <w:pPr>
        <w:widowControl w:val="0"/>
        <w:shd w:val="clear" w:color="auto" w:fill="FFFFFF"/>
        <w:ind w:left="284" w:hanging="284"/>
        <w:jc w:val="both"/>
        <w:rPr>
          <w:sz w:val="16"/>
          <w:szCs w:val="16"/>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VALORE STIMATO DELL’APPALTO:</w:t>
      </w:r>
    </w:p>
    <w:p w:rsidR="009D1A27" w:rsidRDefault="00FA52AF">
      <w:pPr>
        <w:widowControl w:val="0"/>
        <w:shd w:val="clear" w:color="auto" w:fill="FFFFFF"/>
        <w:jc w:val="both"/>
      </w:pPr>
      <w:r>
        <w:rPr>
          <w:b/>
        </w:rPr>
        <w:t>3.1</w:t>
      </w:r>
      <w:r>
        <w:t xml:space="preserve"> importo dei lavori, compreso oneri di sicurezza e costi manodopera, ammonta ad € </w:t>
      </w:r>
      <w:r>
        <w:rPr>
          <w:rFonts w:eastAsia="Times New Roman"/>
          <w:b/>
          <w:bCs/>
          <w:color w:val="auto"/>
          <w:sz w:val="22"/>
          <w:szCs w:val="22"/>
          <w:lang w:eastAsia="it-IT"/>
        </w:rPr>
        <w:t xml:space="preserve">149.704,46 </w:t>
      </w:r>
      <w:r>
        <w:t>così distinti:</w:t>
      </w:r>
    </w:p>
    <w:p w:rsidR="009D1A27" w:rsidRDefault="00FA52AF">
      <w:pPr>
        <w:tabs>
          <w:tab w:val="left" w:pos="567"/>
          <w:tab w:val="decimal" w:pos="6663"/>
          <w:tab w:val="decimal" w:pos="9214"/>
        </w:tabs>
        <w:jc w:val="both"/>
      </w:pPr>
      <w:r>
        <w:t xml:space="preserve">a) </w:t>
      </w:r>
      <w:r>
        <w:tab/>
        <w:t>per lavori a base d’asta soggetti a ribasso</w:t>
      </w:r>
      <w:r>
        <w:tab/>
        <w:t xml:space="preserve">€ </w:t>
      </w:r>
      <w:r>
        <w:rPr>
          <w:rFonts w:eastAsia="Times New Roman"/>
          <w:color w:val="auto"/>
          <w:lang w:eastAsia="it-IT"/>
        </w:rPr>
        <w:t>126.291,61</w:t>
      </w:r>
    </w:p>
    <w:p w:rsidR="009D1A27" w:rsidRDefault="00FA52AF">
      <w:pPr>
        <w:tabs>
          <w:tab w:val="left" w:pos="567"/>
          <w:tab w:val="decimal" w:pos="6663"/>
          <w:tab w:val="decimal" w:pos="9214"/>
        </w:tabs>
        <w:jc w:val="both"/>
      </w:pPr>
      <w:r>
        <w:t xml:space="preserve">b) </w:t>
      </w:r>
      <w:r>
        <w:tab/>
        <w:t xml:space="preserve">per </w:t>
      </w:r>
      <w:r>
        <w:rPr>
          <w:lang w:bidi="it-IT"/>
        </w:rPr>
        <w:t>costi della manodopera non soggetti a ribasso*</w:t>
      </w:r>
      <w:r>
        <w:rPr>
          <w:lang w:bidi="it-IT"/>
        </w:rPr>
        <w:tab/>
        <w:t xml:space="preserve">   €   20.615,68</w:t>
      </w:r>
    </w:p>
    <w:p w:rsidR="009D1A27" w:rsidRDefault="00FA52AF">
      <w:pPr>
        <w:tabs>
          <w:tab w:val="left" w:pos="567"/>
          <w:tab w:val="decimal" w:pos="6663"/>
          <w:tab w:val="decimal" w:pos="9214"/>
        </w:tabs>
        <w:jc w:val="both"/>
      </w:pPr>
      <w:r>
        <w:t xml:space="preserve">c) </w:t>
      </w:r>
      <w:r>
        <w:tab/>
      </w:r>
      <w:r>
        <w:t xml:space="preserve">per oneri di sicurezza non soggetti a ribasso                 €   2.797,17 </w:t>
      </w:r>
      <w:r>
        <w:tab/>
      </w:r>
    </w:p>
    <w:tbl>
      <w:tblPr>
        <w:tblW w:w="1960" w:type="dxa"/>
        <w:tblInd w:w="30" w:type="dxa"/>
        <w:tblLayout w:type="fixed"/>
        <w:tblCellMar>
          <w:left w:w="0" w:type="dxa"/>
          <w:right w:w="0" w:type="dxa"/>
        </w:tblCellMar>
        <w:tblLook w:val="0000" w:firstRow="0" w:lastRow="0" w:firstColumn="0" w:lastColumn="0" w:noHBand="0" w:noVBand="0"/>
      </w:tblPr>
      <w:tblGrid>
        <w:gridCol w:w="224"/>
        <w:gridCol w:w="1511"/>
        <w:gridCol w:w="225"/>
      </w:tblGrid>
      <w:tr w:rsidR="009D1A27">
        <w:tc>
          <w:tcPr>
            <w:tcW w:w="1735" w:type="dxa"/>
            <w:gridSpan w:val="2"/>
          </w:tcPr>
          <w:p w:rsidR="009D1A27" w:rsidRDefault="009D1A27">
            <w:pPr>
              <w:widowControl w:val="0"/>
              <w:rPr>
                <w:rFonts w:eastAsia="Times New Roman"/>
                <w:color w:val="auto"/>
                <w:sz w:val="22"/>
                <w:szCs w:val="22"/>
                <w:lang w:eastAsia="it-IT"/>
              </w:rPr>
            </w:pPr>
          </w:p>
        </w:tc>
        <w:tc>
          <w:tcPr>
            <w:tcW w:w="225" w:type="dxa"/>
          </w:tcPr>
          <w:p w:rsidR="009D1A27" w:rsidRDefault="009D1A27">
            <w:pPr>
              <w:widowControl w:val="0"/>
              <w:jc w:val="right"/>
              <w:rPr>
                <w:rFonts w:ascii="Arial Narrow" w:eastAsia="Times New Roman" w:hAnsi="Arial Narrow" w:cs="Arial Narrow"/>
                <w:color w:val="auto"/>
                <w:sz w:val="22"/>
                <w:szCs w:val="22"/>
                <w:lang w:eastAsia="it-IT"/>
              </w:rPr>
            </w:pPr>
          </w:p>
        </w:tc>
      </w:tr>
      <w:tr w:rsidR="009D1A27">
        <w:tc>
          <w:tcPr>
            <w:tcW w:w="224" w:type="dxa"/>
          </w:tcPr>
          <w:p w:rsidR="009D1A27" w:rsidRDefault="009D1A27">
            <w:pPr>
              <w:widowControl w:val="0"/>
              <w:rPr>
                <w:rFonts w:ascii="Arial Narrow" w:eastAsia="Times New Roman" w:hAnsi="Arial Narrow" w:cs="Arial Narrow"/>
                <w:color w:val="auto"/>
                <w:sz w:val="22"/>
                <w:szCs w:val="22"/>
                <w:lang w:eastAsia="it-IT"/>
              </w:rPr>
            </w:pPr>
          </w:p>
        </w:tc>
        <w:tc>
          <w:tcPr>
            <w:tcW w:w="1511" w:type="dxa"/>
          </w:tcPr>
          <w:p w:rsidR="009D1A27" w:rsidRDefault="009D1A27"/>
        </w:tc>
        <w:tc>
          <w:tcPr>
            <w:tcW w:w="225" w:type="dxa"/>
          </w:tcPr>
          <w:p w:rsidR="009D1A27" w:rsidRDefault="009D1A27"/>
        </w:tc>
      </w:tr>
    </w:tbl>
    <w:p w:rsidR="009D1A27" w:rsidRDefault="009D1A27">
      <w:pPr>
        <w:widowControl w:val="0"/>
        <w:shd w:val="clear" w:color="auto" w:fill="FFFFFF"/>
        <w:jc w:val="both"/>
        <w:rPr>
          <w:sz w:val="16"/>
          <w:szCs w:val="16"/>
        </w:rPr>
      </w:pPr>
    </w:p>
    <w:p w:rsidR="009D1A27" w:rsidRDefault="00FA52AF">
      <w:pPr>
        <w:tabs>
          <w:tab w:val="left" w:pos="567"/>
          <w:tab w:val="decimal" w:pos="6663"/>
          <w:tab w:val="decimal" w:pos="9214"/>
        </w:tabs>
        <w:jc w:val="both"/>
      </w:pPr>
      <w:r>
        <w:rPr>
          <w:lang w:eastAsia="it-IT"/>
        </w:rPr>
        <w:t xml:space="preserve">N.B. I costi della manodopera indicati in progetto sono presunti e ricavati dalla incidenza percentuale </w:t>
      </w:r>
      <w:r>
        <w:t>progettuale del 13,60</w:t>
      </w:r>
      <w:r>
        <w:rPr>
          <w:color w:val="auto"/>
        </w:rPr>
        <w:t>%,</w:t>
      </w:r>
      <w:r>
        <w:rPr>
          <w:color w:val="FF0000"/>
        </w:rPr>
        <w:t xml:space="preserve"> </w:t>
      </w:r>
      <w:r>
        <w:t xml:space="preserve">così come gli oneri interni aziendali (che </w:t>
      </w:r>
      <w:r>
        <w:t>possono non essere indicati nell’offerta), tenuto conto dell’impossibilità di prevedere a monte gli interventi che saranno in concreto affidati. I lavori di volta in volta autorizzati con i contratti esecutivi/ordini di esecuzione/ordine di servizio, dovra</w:t>
      </w:r>
      <w:r>
        <w:t>nno essere contabilizzati “a misura” laddove sarà calcolato il costo della manodopera secondo l’incidenza prevista in progetto pari al 13,60%;</w:t>
      </w:r>
    </w:p>
    <w:p w:rsidR="009D1A27" w:rsidRDefault="009D1A27">
      <w:pPr>
        <w:jc w:val="both"/>
        <w:rPr>
          <w:sz w:val="16"/>
          <w:szCs w:val="16"/>
          <w:lang w:eastAsia="ar-SA"/>
        </w:rPr>
      </w:pPr>
    </w:p>
    <w:p w:rsidR="009D1A27" w:rsidRDefault="00FA52AF">
      <w:pPr>
        <w:jc w:val="both"/>
        <w:rPr>
          <w:lang w:eastAsia="ar-SA"/>
        </w:rPr>
      </w:pPr>
      <w:r>
        <w:rPr>
          <w:lang w:eastAsia="ar-SA"/>
        </w:rPr>
        <w:t xml:space="preserve">Ai sensi dell’articolo 11 comma 2 del </w:t>
      </w:r>
      <w:proofErr w:type="spellStart"/>
      <w:r>
        <w:rPr>
          <w:lang w:eastAsia="ar-SA"/>
        </w:rPr>
        <w:t>D.Lgs.</w:t>
      </w:r>
      <w:proofErr w:type="spellEnd"/>
      <w:r>
        <w:rPr>
          <w:lang w:eastAsia="ar-SA"/>
        </w:rPr>
        <w:t xml:space="preserve"> 36/2023 il contratto collettivo applicabile al personale dipendente</w:t>
      </w:r>
      <w:r>
        <w:rPr>
          <w:lang w:eastAsia="ar-SA"/>
        </w:rPr>
        <w:t xml:space="preserve"> impiegato nell'appalto risulta essere quello indicato al punto 6.5 della presente lettera di invito/disciplinare; </w:t>
      </w:r>
    </w:p>
    <w:p w:rsidR="009D1A27" w:rsidRDefault="009D1A27">
      <w:pPr>
        <w:widowControl w:val="0"/>
        <w:shd w:val="clear" w:color="auto" w:fill="FFFFFF"/>
        <w:jc w:val="both"/>
        <w:rPr>
          <w:sz w:val="16"/>
          <w:szCs w:val="16"/>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lastRenderedPageBreak/>
        <w:t>TERMINE DI ESECUZIONE:</w:t>
      </w:r>
    </w:p>
    <w:p w:rsidR="009D1A27" w:rsidRDefault="00FA52AF">
      <w:pPr>
        <w:widowControl w:val="0"/>
        <w:shd w:val="clear" w:color="auto" w:fill="FFFFFF"/>
        <w:jc w:val="both"/>
      </w:pPr>
      <w:r>
        <w:rPr>
          <w:b/>
          <w:shd w:val="clear" w:color="auto" w:fill="FFFFFF"/>
        </w:rPr>
        <w:t xml:space="preserve"> 4.1 giorni 180 (centottanta) </w:t>
      </w:r>
      <w:r>
        <w:t>dalla data di consegna dei lavori o fino all’esaurimento delle somme stanziate per l’i</w:t>
      </w:r>
      <w:r>
        <w:t>ntervento;</w:t>
      </w:r>
    </w:p>
    <w:p w:rsidR="009D1A27" w:rsidRDefault="00FA52AF">
      <w:pPr>
        <w:widowControl w:val="0"/>
        <w:shd w:val="clear" w:color="auto" w:fill="FFFFFF"/>
        <w:jc w:val="both"/>
        <w:rPr>
          <w:b/>
          <w:bCs/>
        </w:rPr>
      </w:pPr>
      <w:r>
        <w:rPr>
          <w:b/>
          <w:bCs/>
        </w:rPr>
        <w:t>N.B. Si evidenzia che i lavori di cui in oggetto, nonostante vengano aggiudicati in data 17/12/2025, saranno espletati tra il 2028 e il 2029;</w:t>
      </w:r>
    </w:p>
    <w:p w:rsidR="009D1A27" w:rsidRDefault="009D1A27">
      <w:pPr>
        <w:widowControl w:val="0"/>
        <w:shd w:val="clear" w:color="auto" w:fill="FFFFFF"/>
        <w:jc w:val="both"/>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INFORMAZIONI DI CARATTERE AMMINISTRATIVO:</w:t>
      </w:r>
    </w:p>
    <w:p w:rsidR="009D1A27" w:rsidRDefault="00FA52AF">
      <w:pPr>
        <w:widowControl w:val="0"/>
        <w:shd w:val="clear" w:color="auto" w:fill="FFFFFF"/>
        <w:jc w:val="both"/>
        <w:rPr>
          <w:lang w:eastAsia="it-IT"/>
        </w:rPr>
      </w:pPr>
      <w:r>
        <w:rPr>
          <w:b/>
          <w:lang w:eastAsia="it-IT"/>
        </w:rPr>
        <w:t xml:space="preserve">5.1 Termine per il ricevimento delle offerte: </w:t>
      </w:r>
      <w:r>
        <w:rPr>
          <w:u w:val="single"/>
          <w:lang w:eastAsia="it-IT"/>
        </w:rPr>
        <w:t xml:space="preserve">ORE </w:t>
      </w:r>
      <w:r>
        <w:rPr>
          <w:u w:val="single"/>
        </w:rPr>
        <w:t xml:space="preserve">12:30 </w:t>
      </w:r>
      <w:r>
        <w:rPr>
          <w:u w:val="single"/>
          <w:lang w:eastAsia="it-IT"/>
        </w:rPr>
        <w:t xml:space="preserve">DEL GIORNO </w:t>
      </w:r>
      <w:r>
        <w:rPr>
          <w:u w:val="single"/>
        </w:rPr>
        <w:t>_16/12/2025</w:t>
      </w:r>
    </w:p>
    <w:p w:rsidR="009D1A27" w:rsidRDefault="009D1A27">
      <w:pPr>
        <w:widowControl w:val="0"/>
        <w:shd w:val="clear" w:color="auto" w:fill="FFFFFF"/>
        <w:jc w:val="both"/>
        <w:rPr>
          <w:lang w:eastAsia="it-IT"/>
        </w:rPr>
      </w:pPr>
    </w:p>
    <w:p w:rsidR="009D1A27" w:rsidRDefault="00FA52AF">
      <w:pPr>
        <w:widowControl w:val="0"/>
        <w:shd w:val="clear" w:color="auto" w:fill="FFFFFF"/>
        <w:jc w:val="both"/>
        <w:rPr>
          <w:lang w:eastAsia="it-IT"/>
        </w:rPr>
      </w:pPr>
      <w:r>
        <w:rPr>
          <w:b/>
          <w:lang w:eastAsia="it-IT"/>
        </w:rPr>
        <w:t>5.2 Lingue utilizzabili per la presentazione delle offerte:</w:t>
      </w:r>
      <w:r>
        <w:rPr>
          <w:lang w:eastAsia="it-IT"/>
        </w:rPr>
        <w:t xml:space="preserve"> Italiana, se </w:t>
      </w:r>
      <w:r>
        <w:t>redatta in lingua straniera, deve essere corredata da traduzione giurata in lingua italiana</w:t>
      </w:r>
      <w:r>
        <w:rPr>
          <w:lang w:eastAsia="it-IT"/>
        </w:rPr>
        <w:t>;</w:t>
      </w:r>
    </w:p>
    <w:p w:rsidR="009D1A27" w:rsidRDefault="009D1A27">
      <w:pPr>
        <w:widowControl w:val="0"/>
        <w:shd w:val="clear" w:color="auto" w:fill="FFFFFF"/>
        <w:jc w:val="both"/>
        <w:rPr>
          <w:lang w:eastAsia="it-IT"/>
        </w:rPr>
      </w:pPr>
    </w:p>
    <w:p w:rsidR="009D1A27" w:rsidRDefault="00FA52AF">
      <w:pPr>
        <w:widowControl w:val="0"/>
        <w:shd w:val="clear" w:color="auto" w:fill="FFFFFF"/>
        <w:jc w:val="both"/>
        <w:rPr>
          <w:lang w:eastAsia="it-IT"/>
        </w:rPr>
      </w:pPr>
      <w:r>
        <w:rPr>
          <w:b/>
          <w:lang w:eastAsia="it-IT"/>
        </w:rPr>
        <w:t xml:space="preserve">5.3 Periodo minimo durante il quale l’offerente è vincolato alla propria offerta: </w:t>
      </w:r>
      <w:r>
        <w:rPr>
          <w:lang w:eastAsia="it-IT"/>
        </w:rPr>
        <w:t>180 giorni dal termine ultimo per il ricevimento delle offerte;</w:t>
      </w:r>
    </w:p>
    <w:p w:rsidR="009D1A27" w:rsidRDefault="009D1A27">
      <w:pPr>
        <w:widowControl w:val="0"/>
        <w:shd w:val="clear" w:color="auto" w:fill="FFFFFF"/>
        <w:jc w:val="both"/>
        <w:rPr>
          <w:lang w:eastAsia="it-IT"/>
        </w:rPr>
      </w:pPr>
    </w:p>
    <w:p w:rsidR="009D1A27" w:rsidRDefault="00FA52AF">
      <w:pPr>
        <w:shd w:val="clear" w:color="auto" w:fill="FFFFFF"/>
        <w:jc w:val="both"/>
        <w:rPr>
          <w:lang w:eastAsia="it-IT"/>
        </w:rPr>
      </w:pPr>
      <w:r>
        <w:rPr>
          <w:b/>
          <w:lang w:eastAsia="it-IT"/>
        </w:rPr>
        <w:t>5.4 Modalità di apertura delle offerte</w:t>
      </w:r>
      <w:r>
        <w:rPr>
          <w:b/>
          <w:u w:val="single"/>
          <w:lang w:eastAsia="it-IT"/>
        </w:rPr>
        <w:t xml:space="preserve">: a partire dalle </w:t>
      </w:r>
      <w:r>
        <w:rPr>
          <w:u w:val="single"/>
          <w:lang w:eastAsia="it-IT"/>
        </w:rPr>
        <w:t>ORE 08</w:t>
      </w:r>
      <w:r>
        <w:rPr>
          <w:u w:val="single"/>
        </w:rPr>
        <w:t xml:space="preserve">:30 </w:t>
      </w:r>
      <w:r>
        <w:rPr>
          <w:u w:val="single"/>
          <w:lang w:eastAsia="it-IT"/>
        </w:rPr>
        <w:t>DEL GIORNO</w:t>
      </w:r>
      <w:r>
        <w:rPr>
          <w:u w:val="single"/>
        </w:rPr>
        <w:t xml:space="preserve"> 17/12/2025</w:t>
      </w:r>
      <w:r>
        <w:t xml:space="preserve"> </w:t>
      </w:r>
      <w:r>
        <w:rPr>
          <w:lang w:eastAsia="it-IT"/>
        </w:rPr>
        <w:t>Le persone ammesse ad</w:t>
      </w:r>
      <w:r>
        <w:rPr>
          <w:lang w:eastAsia="it-IT"/>
        </w:rPr>
        <w:t xml:space="preserve"> assistere all’apertura delle offerte sono i legali rappresentanti dei concorrenti, ovvero soggetti, uno per ogni concorrente, muniti di specifica delega loro conferita dai suddetti legali rappresentanti;</w:t>
      </w:r>
    </w:p>
    <w:p w:rsidR="009D1A27" w:rsidRDefault="00FA52AF">
      <w:pPr>
        <w:numPr>
          <w:ilvl w:val="0"/>
          <w:numId w:val="12"/>
        </w:numPr>
        <w:shd w:val="clear" w:color="auto" w:fill="FFFFFF"/>
        <w:jc w:val="both"/>
        <w:rPr>
          <w:rStyle w:val="Collegamentoipertestuale"/>
          <w:color w:val="000000"/>
          <w:u w:val="none"/>
          <w:lang w:eastAsia="it-IT"/>
        </w:rPr>
      </w:pPr>
      <w:r>
        <w:t>virtualmente sulla piattaforma “TUTTOGARE” all’indi</w:t>
      </w:r>
      <w:r>
        <w:t xml:space="preserve">rizzo </w:t>
      </w:r>
      <w:hyperlink r:id="rId11">
        <w:r>
          <w:rPr>
            <w:rStyle w:val="Collegamentoipertestuale"/>
          </w:rPr>
          <w:t>https://lccsiracusa.tuttogare.it/</w:t>
        </w:r>
      </w:hyperlink>
    </w:p>
    <w:p w:rsidR="009D1A27" w:rsidRDefault="00FA52AF">
      <w:pPr>
        <w:numPr>
          <w:ilvl w:val="0"/>
          <w:numId w:val="12"/>
        </w:numPr>
        <w:shd w:val="clear" w:color="auto" w:fill="FFFFFF"/>
        <w:jc w:val="both"/>
        <w:rPr>
          <w:lang w:eastAsia="it-IT"/>
        </w:rPr>
      </w:pPr>
      <w:r>
        <w:rPr>
          <w:b/>
          <w:lang w:eastAsia="it-IT"/>
        </w:rPr>
        <w:t>(in presenza, solo qualora le norme sanitarie vigenti al momento lo permettano)</w:t>
      </w:r>
      <w:r>
        <w:rPr>
          <w:lang w:eastAsia="it-IT"/>
        </w:rPr>
        <w:t xml:space="preserve"> </w:t>
      </w:r>
      <w:r>
        <w:t>In seduta pubblica nella Sede staccata del Libero Consorzio Comunale di Siracusa di</w:t>
      </w:r>
      <w:r>
        <w:t xml:space="preserve"> Via Malta n. 106 – Siracusa </w:t>
      </w:r>
      <w:r>
        <w:rPr>
          <w:lang w:eastAsia="it-IT"/>
        </w:rPr>
        <w:t>i legali rappresentanti dei concorrenti, ovvero soggetti, uno per ogni concorrente, muniti di specifica delega loro conferita dai suddetti legali rappresentanti;</w:t>
      </w:r>
    </w:p>
    <w:p w:rsidR="009D1A27" w:rsidRDefault="009D1A27">
      <w:pPr>
        <w:pStyle w:val="Nessunaspaziatura"/>
        <w:jc w:val="both"/>
        <w:rPr>
          <w:rFonts w:ascii="Times New Roman" w:hAnsi="Times New Roman"/>
          <w:b/>
          <w:bCs/>
          <w:sz w:val="24"/>
          <w:szCs w:val="24"/>
        </w:rPr>
      </w:pPr>
    </w:p>
    <w:p w:rsidR="009D1A27" w:rsidRDefault="00FA52AF">
      <w:pPr>
        <w:ind w:firstLine="360"/>
        <w:jc w:val="both"/>
        <w:rPr>
          <w:b/>
          <w:bCs/>
        </w:rPr>
      </w:pPr>
      <w:r>
        <w:t>La presentazione delle offerte, esclusivamente per via telematic</w:t>
      </w:r>
      <w:r>
        <w:t xml:space="preserve">a, deve avvenire con le modalità standard della piattaforma TUTTOGARE in dotazione dell’Ente all’indirizzo </w:t>
      </w:r>
      <w:hyperlink r:id="rId12">
        <w:r>
          <w:rPr>
            <w:rStyle w:val="Collegamentoipertestuale"/>
          </w:rPr>
          <w:t>https://lccsiracusa.tuttogare.it/</w:t>
        </w:r>
      </w:hyperlink>
      <w:r>
        <w:t xml:space="preserve"> che in maniera automatica si disattiverà alle ore 12:30 del gi</w:t>
      </w:r>
      <w:r>
        <w:t xml:space="preserve">orno indicato al punto 5.1. </w:t>
      </w:r>
    </w:p>
    <w:p w:rsidR="009D1A27" w:rsidRDefault="00FA52AF">
      <w:pPr>
        <w:shd w:val="clear" w:color="auto" w:fill="FFFFFF"/>
        <w:jc w:val="both"/>
        <w:rPr>
          <w:lang w:eastAsia="it-IT"/>
        </w:rPr>
      </w:pPr>
      <w:r>
        <w:rPr>
          <w:lang w:eastAsia="it-IT"/>
        </w:rPr>
        <w:t>I ricorsi sulla legittimità della procedura di affidamento del presente appalto rientrano, ai sensi della normativa vigente, nella giurisdizione esclusiva del TAR Sicilia Sezione di Catania.</w:t>
      </w:r>
    </w:p>
    <w:p w:rsidR="009D1A27" w:rsidRDefault="00FA52AF">
      <w:pPr>
        <w:shd w:val="clear" w:color="auto" w:fill="FFFFFF"/>
        <w:jc w:val="both"/>
        <w:rPr>
          <w:lang w:eastAsia="it-IT"/>
        </w:rPr>
      </w:pPr>
      <w:r>
        <w:rPr>
          <w:lang w:eastAsia="it-IT"/>
        </w:rPr>
        <w:t>Le controversie che dovessero deriva</w:t>
      </w:r>
      <w:r>
        <w:rPr>
          <w:lang w:eastAsia="it-IT"/>
        </w:rPr>
        <w:t>re dall’esecuzione del Contratto sono devolute al giudice ordinario del Tribunale di Siracusa. È escluso il ricorso all’arbitrato.</w:t>
      </w:r>
    </w:p>
    <w:p w:rsidR="009D1A27" w:rsidRDefault="009D1A27">
      <w:pPr>
        <w:widowControl w:val="0"/>
        <w:shd w:val="clear" w:color="auto" w:fill="FFFFFF"/>
        <w:jc w:val="both"/>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CONDIZIONI RELATIVE ALL’APPALTO - SOGGETTI AMMESSI ALLA GARA</w:t>
      </w:r>
    </w:p>
    <w:p w:rsidR="009D1A27" w:rsidRDefault="00FA52AF">
      <w:pPr>
        <w:widowControl w:val="0"/>
        <w:shd w:val="clear" w:color="auto" w:fill="FFFFFF"/>
        <w:jc w:val="both"/>
        <w:rPr>
          <w:lang w:eastAsia="it-IT"/>
        </w:rPr>
      </w:pPr>
      <w:r>
        <w:rPr>
          <w:b/>
        </w:rPr>
        <w:t xml:space="preserve">6.1 </w:t>
      </w:r>
      <w:r>
        <w:rPr>
          <w:lang w:eastAsia="it-IT"/>
        </w:rPr>
        <w:t xml:space="preserve">Possono partecipare alla procedura gli operatori economici </w:t>
      </w:r>
      <w:r>
        <w:rPr>
          <w:lang w:eastAsia="it-IT"/>
        </w:rPr>
        <w:t xml:space="preserve">di cui all’allegato I.1 del D. </w:t>
      </w:r>
      <w:proofErr w:type="spellStart"/>
      <w:r>
        <w:rPr>
          <w:lang w:eastAsia="it-IT"/>
        </w:rPr>
        <w:t>Lgs</w:t>
      </w:r>
      <w:proofErr w:type="spellEnd"/>
      <w:r>
        <w:rPr>
          <w:lang w:eastAsia="it-IT"/>
        </w:rPr>
        <w:t xml:space="preserve"> 36/2023, nonché gli operatori economici stabiliti in altri Stati membri, costituiti conformemente alla legislazione vigente nei rispettivi Paesi. Gli operatori economici, i raggruppamenti di operatori economici, comprese </w:t>
      </w:r>
      <w:r>
        <w:rPr>
          <w:lang w:eastAsia="it-IT"/>
        </w:rPr>
        <w:t>le associazioni temporanee, che in base alla normativa dello Stato membro nel quale sono stabiliti, sono autorizzati a fornire la prestazione oggetto della procedura di affidamento, possono partecipare alle procedure di affidamento dei contratti pubblici a</w:t>
      </w:r>
      <w:r>
        <w:rPr>
          <w:lang w:eastAsia="it-IT"/>
        </w:rPr>
        <w:t xml:space="preserve">nche nel caso in cui essi avrebbero dovuto configurarsi come persone fisiche o persone giuridiche, ai sensi del </w:t>
      </w:r>
      <w:proofErr w:type="spellStart"/>
      <w:r>
        <w:rPr>
          <w:lang w:eastAsia="it-IT"/>
        </w:rPr>
        <w:t>D.Lgs</w:t>
      </w:r>
      <w:proofErr w:type="spellEnd"/>
      <w:r>
        <w:rPr>
          <w:lang w:eastAsia="it-IT"/>
        </w:rPr>
        <w:t xml:space="preserve"> 50/2016.</w:t>
      </w:r>
    </w:p>
    <w:p w:rsidR="009D1A27" w:rsidRDefault="00FA52AF">
      <w:pPr>
        <w:shd w:val="clear" w:color="auto" w:fill="FFFFFF"/>
        <w:jc w:val="both"/>
      </w:pPr>
      <w:r>
        <w:rPr>
          <w:b/>
          <w:lang w:eastAsia="it-IT"/>
        </w:rPr>
        <w:t xml:space="preserve">6.2 Finanziamento e pagamenti: </w:t>
      </w:r>
      <w:r>
        <w:rPr>
          <w:lang w:eastAsia="it-IT"/>
        </w:rPr>
        <w:t xml:space="preserve">l’appalto è finanziato con le risorse di cui al D.M. n. 101 del 26 aprile 2022 e </w:t>
      </w:r>
      <w:proofErr w:type="spellStart"/>
      <w:r>
        <w:rPr>
          <w:lang w:eastAsia="it-IT"/>
        </w:rPr>
        <w:t>ss.mm.ii</w:t>
      </w:r>
      <w:proofErr w:type="spellEnd"/>
      <w:r>
        <w:rPr>
          <w:lang w:eastAsia="it-IT"/>
        </w:rPr>
        <w:t xml:space="preserve"> secondo </w:t>
      </w:r>
      <w:r>
        <w:rPr>
          <w:lang w:eastAsia="it-IT"/>
        </w:rPr>
        <w:t>le disposizioni del D.L. n. 95 del 30 giugno 2025</w:t>
      </w:r>
      <w:r>
        <w:t>. Il relativo impegno sarà preso prima della stipula del contratto.</w:t>
      </w:r>
    </w:p>
    <w:p w:rsidR="009D1A27" w:rsidRDefault="00FA52AF">
      <w:pPr>
        <w:shd w:val="clear" w:color="auto" w:fill="FFFFFF"/>
        <w:jc w:val="both"/>
        <w:rPr>
          <w:lang w:eastAsia="it-IT"/>
        </w:rPr>
      </w:pPr>
      <w:r>
        <w:rPr>
          <w:b/>
          <w:lang w:eastAsia="it-IT"/>
        </w:rPr>
        <w:t xml:space="preserve">6.3 Condizioni di partecipazione: </w:t>
      </w:r>
      <w:r>
        <w:rPr>
          <w:lang w:eastAsia="it-IT"/>
        </w:rPr>
        <w:t>Non è ammessa la partecipazione alla gara di concorrenti per i quali sussistano:</w:t>
      </w:r>
    </w:p>
    <w:p w:rsidR="009D1A27" w:rsidRDefault="00FA52AF">
      <w:pPr>
        <w:shd w:val="clear" w:color="auto" w:fill="FFFFFF"/>
        <w:jc w:val="both"/>
        <w:rPr>
          <w:bCs/>
          <w:color w:val="auto"/>
        </w:rPr>
      </w:pPr>
      <w:r>
        <w:rPr>
          <w:color w:val="auto"/>
          <w:lang w:eastAsia="it-IT"/>
        </w:rPr>
        <w:t xml:space="preserve">a) le cause di </w:t>
      </w:r>
      <w:r>
        <w:rPr>
          <w:color w:val="auto"/>
          <w:lang w:eastAsia="it-IT"/>
        </w:rPr>
        <w:t>esclusione di cui all’articolo</w:t>
      </w:r>
      <w:r>
        <w:rPr>
          <w:bCs/>
          <w:color w:val="auto"/>
        </w:rPr>
        <w:t xml:space="preserve"> 94</w:t>
      </w:r>
      <w:r>
        <w:rPr>
          <w:color w:val="auto"/>
        </w:rPr>
        <w:t xml:space="preserve">, e 95, del D. </w:t>
      </w:r>
      <w:proofErr w:type="spellStart"/>
      <w:r>
        <w:rPr>
          <w:color w:val="auto"/>
        </w:rPr>
        <w:t>Lgs</w:t>
      </w:r>
      <w:proofErr w:type="spellEnd"/>
      <w:r>
        <w:rPr>
          <w:color w:val="auto"/>
        </w:rPr>
        <w:t>. 36/2023;</w:t>
      </w:r>
    </w:p>
    <w:p w:rsidR="009D1A27" w:rsidRDefault="00FA52AF">
      <w:pPr>
        <w:shd w:val="clear" w:color="auto" w:fill="FFFFFF"/>
        <w:jc w:val="both"/>
        <w:rPr>
          <w:lang w:eastAsia="it-IT"/>
        </w:rPr>
      </w:pPr>
      <w:r>
        <w:rPr>
          <w:lang w:eastAsia="it-IT"/>
        </w:rPr>
        <w:t xml:space="preserve">b) le cause di divieto, decadenza o di sospensione di cui all’art. 67 del D. </w:t>
      </w:r>
      <w:proofErr w:type="spellStart"/>
      <w:r>
        <w:rPr>
          <w:lang w:eastAsia="it-IT"/>
        </w:rPr>
        <w:t>Lgs</w:t>
      </w:r>
      <w:proofErr w:type="spellEnd"/>
      <w:r>
        <w:rPr>
          <w:lang w:eastAsia="it-IT"/>
        </w:rPr>
        <w:t>. 6 settembre 2011, n. 159;</w:t>
      </w:r>
    </w:p>
    <w:p w:rsidR="009D1A27" w:rsidRDefault="00FA52AF">
      <w:pPr>
        <w:shd w:val="clear" w:color="auto" w:fill="FFFFFF"/>
        <w:jc w:val="both"/>
        <w:rPr>
          <w:lang w:eastAsia="it-IT"/>
        </w:rPr>
      </w:pPr>
      <w:r>
        <w:rPr>
          <w:lang w:eastAsia="it-IT"/>
        </w:rPr>
        <w:t>c) le condizioni di cui all’art. 53, comma 16-</w:t>
      </w:r>
      <w:r>
        <w:rPr>
          <w:i/>
          <w:lang w:eastAsia="it-IT"/>
        </w:rPr>
        <w:t>ter</w:t>
      </w:r>
      <w:r>
        <w:rPr>
          <w:lang w:eastAsia="it-IT"/>
        </w:rPr>
        <w:t>, del d.lgs. del 2001, n. 165 o che s</w:t>
      </w:r>
      <w:r>
        <w:rPr>
          <w:lang w:eastAsia="it-IT"/>
        </w:rPr>
        <w:t>iano incorsi, ai sensi della normativa vigente, in ulteriori divieti a contrattare con la pubblica amministrazione;</w:t>
      </w:r>
    </w:p>
    <w:p w:rsidR="009D1A27" w:rsidRDefault="00FA52AF">
      <w:pPr>
        <w:shd w:val="clear" w:color="auto" w:fill="FFFFFF"/>
        <w:tabs>
          <w:tab w:val="left" w:pos="2650"/>
        </w:tabs>
        <w:jc w:val="both"/>
        <w:rPr>
          <w:bCs/>
          <w:lang w:eastAsia="it-IT"/>
        </w:rPr>
      </w:pPr>
      <w:r>
        <w:rPr>
          <w:b/>
          <w:lang w:eastAsia="it-IT"/>
        </w:rPr>
        <w:lastRenderedPageBreak/>
        <w:t xml:space="preserve">6.4 FVOE. </w:t>
      </w:r>
      <w:r>
        <w:rPr>
          <w:bCs/>
          <w:lang w:eastAsia="it-IT"/>
        </w:rPr>
        <w:t>Nella presente procedura è obbligatorio l’uso del FVOE per la comprova dei requisiti di partecipazione in quanto la presente procedura rientra tra quelle in cui è stato previsto l’inserimento nel FVOE dei documenti assoggettabili a riuso. Fanno eccezione i</w:t>
      </w:r>
      <w:r>
        <w:rPr>
          <w:bCs/>
          <w:lang w:eastAsia="it-IT"/>
        </w:rPr>
        <w:t xml:space="preserve">nvece quelli non riutilizzabili (documenti utilizzabili in una sola gara, quali ad esempio la polizza fideiussoria o/e il contratto di avvalimento) che vanno necessariamente inseriti nella documentazione di gara; </w:t>
      </w:r>
    </w:p>
    <w:p w:rsidR="009D1A27" w:rsidRDefault="00FA52AF">
      <w:pPr>
        <w:shd w:val="clear" w:color="auto" w:fill="FFFFFF"/>
        <w:tabs>
          <w:tab w:val="left" w:pos="2650"/>
        </w:tabs>
        <w:jc w:val="both"/>
        <w:rPr>
          <w:b/>
          <w:lang w:eastAsia="it-IT"/>
        </w:rPr>
      </w:pPr>
      <w:r>
        <w:rPr>
          <w:b/>
          <w:lang w:eastAsia="it-IT"/>
        </w:rPr>
        <w:t xml:space="preserve">6.5 altre informazioni: </w:t>
      </w:r>
      <w:r>
        <w:rPr>
          <w:lang w:eastAsia="it-IT"/>
        </w:rPr>
        <w:t>CCNL DI RIFERIMENT</w:t>
      </w:r>
      <w:r>
        <w:rPr>
          <w:lang w:eastAsia="it-IT"/>
        </w:rPr>
        <w:t xml:space="preserve">O: a norma di quanto previsto dall’art. 11, comma 2, del D.lgs. 36/2023, il contratto collettivo applicabile al personale dipendente impiegato nell'appalto è il seguente: </w:t>
      </w:r>
      <w:r>
        <w:rPr>
          <w:b/>
          <w:lang w:eastAsia="it-IT"/>
        </w:rPr>
        <w:t>CCNL Applicato EDILIZIA.</w:t>
      </w:r>
    </w:p>
    <w:p w:rsidR="009D1A27" w:rsidRDefault="00FA52AF">
      <w:pPr>
        <w:widowControl w:val="0"/>
        <w:numPr>
          <w:ilvl w:val="0"/>
          <w:numId w:val="7"/>
        </w:numPr>
        <w:ind w:left="284" w:firstLine="0"/>
        <w:jc w:val="both"/>
        <w:rPr>
          <w:lang w:eastAsia="it-IT"/>
        </w:rPr>
      </w:pPr>
      <w:r>
        <w:t>L’aggiudicatario</w:t>
      </w:r>
      <w:r>
        <w:rPr>
          <w:lang w:eastAsia="it-IT"/>
        </w:rPr>
        <w:t xml:space="preserve"> è tenuto a garantire l’applicazione del con</w:t>
      </w:r>
      <w:r>
        <w:rPr>
          <w:lang w:eastAsia="it-IT"/>
        </w:rPr>
        <w:t xml:space="preserve">tratto collettivo nazionale e territoriale, oppure di un altro contratto che garantisca le stesse tutele economiche e normative per i propri lavoratori e per quelli in subappalto. Ai sensi dell’art. 102 D. </w:t>
      </w:r>
      <w:proofErr w:type="spellStart"/>
      <w:r>
        <w:rPr>
          <w:lang w:eastAsia="it-IT"/>
        </w:rPr>
        <w:t>Lgs</w:t>
      </w:r>
      <w:proofErr w:type="spellEnd"/>
      <w:r>
        <w:rPr>
          <w:lang w:eastAsia="it-IT"/>
        </w:rPr>
        <w:t>. 36/2023, l’aggiudicatario è tenuto a garantir</w:t>
      </w:r>
      <w:r>
        <w:rPr>
          <w:lang w:eastAsia="it-IT"/>
        </w:rPr>
        <w:t>e la stabilità occupazionale del personale impiegato nel contratto.</w:t>
      </w:r>
    </w:p>
    <w:p w:rsidR="009D1A27" w:rsidRDefault="00FA52AF">
      <w:pPr>
        <w:widowControl w:val="0"/>
        <w:numPr>
          <w:ilvl w:val="0"/>
          <w:numId w:val="7"/>
        </w:numPr>
        <w:ind w:left="284" w:firstLine="0"/>
        <w:jc w:val="both"/>
        <w:rPr>
          <w:color w:val="auto"/>
          <w:lang w:eastAsia="it-IT"/>
        </w:rPr>
      </w:pPr>
      <w:r>
        <w:rPr>
          <w:color w:val="auto"/>
          <w:lang w:eastAsia="it-IT"/>
        </w:rPr>
        <w:t xml:space="preserve">nel </w:t>
      </w:r>
      <w:r>
        <w:rPr>
          <w:color w:val="auto"/>
        </w:rPr>
        <w:t>caso</w:t>
      </w:r>
      <w:r>
        <w:rPr>
          <w:color w:val="auto"/>
          <w:lang w:eastAsia="it-IT"/>
        </w:rPr>
        <w:t xml:space="preserve"> di applicazione di un contratto differente a quello indicato dalla stazione appaltate, il concorrente dovrà fornire </w:t>
      </w:r>
      <w:r>
        <w:rPr>
          <w:b/>
          <w:bCs/>
          <w:color w:val="auto"/>
          <w:lang w:eastAsia="it-IT"/>
        </w:rPr>
        <w:t>la dichiarazione di equivalenza</w:t>
      </w:r>
      <w:r>
        <w:rPr>
          <w:color w:val="auto"/>
          <w:lang w:eastAsia="it-IT"/>
        </w:rPr>
        <w:t>, ovvero la dichiarazione con qu</w:t>
      </w:r>
      <w:r>
        <w:rPr>
          <w:color w:val="auto"/>
          <w:lang w:eastAsia="it-IT"/>
        </w:rPr>
        <w:t>ale il futuro appaltatore si obbliga a rispettare le tutele previste dal contratto collettivo precisato dalla stazione appaltante.</w:t>
      </w:r>
    </w:p>
    <w:p w:rsidR="009D1A27" w:rsidRDefault="00FA52AF">
      <w:pPr>
        <w:widowControl w:val="0"/>
        <w:numPr>
          <w:ilvl w:val="0"/>
          <w:numId w:val="7"/>
        </w:numPr>
        <w:ind w:left="284" w:firstLine="0"/>
        <w:jc w:val="both"/>
      </w:pPr>
      <w:r>
        <w:t xml:space="preserve">Il corrispettivo è da considerarsi a misura ai sensi dell’art.5 comma 1 </w:t>
      </w:r>
      <w:proofErr w:type="spellStart"/>
      <w:r>
        <w:t>lett</w:t>
      </w:r>
      <w:proofErr w:type="spellEnd"/>
      <w:r>
        <w:t xml:space="preserve">. a) dell’Allegato I.7 del D. </w:t>
      </w:r>
      <w:proofErr w:type="spellStart"/>
      <w:r>
        <w:t>Lgs</w:t>
      </w:r>
      <w:proofErr w:type="spellEnd"/>
      <w:r>
        <w:t xml:space="preserve">. 36/2023. </w:t>
      </w:r>
    </w:p>
    <w:p w:rsidR="009D1A27" w:rsidRDefault="00FA52AF">
      <w:pPr>
        <w:widowControl w:val="0"/>
        <w:numPr>
          <w:ilvl w:val="0"/>
          <w:numId w:val="7"/>
        </w:numPr>
        <w:ind w:left="284" w:firstLine="0"/>
        <w:jc w:val="both"/>
      </w:pPr>
      <w:r>
        <w:t>L’im</w:t>
      </w:r>
      <w:r>
        <w:t>presa avrà diritto al pagamento in acconto che avverrà mediante emissione di certificato di pagamento con le modalità prescritte nel Capitolato Speciale di Appalto;</w:t>
      </w:r>
    </w:p>
    <w:p w:rsidR="009D1A27" w:rsidRDefault="00FA52AF">
      <w:pPr>
        <w:widowControl w:val="0"/>
        <w:numPr>
          <w:ilvl w:val="0"/>
          <w:numId w:val="7"/>
        </w:numPr>
        <w:ind w:left="284" w:firstLine="0"/>
        <w:jc w:val="both"/>
      </w:pPr>
      <w:r>
        <w:t>Per quanto attiene ai pagamenti, trova applicazione l'art. 3 della Legge 13 agosto 2010, n.</w:t>
      </w:r>
      <w:r>
        <w:t xml:space="preserve"> 136 in tema di tracciabilità dei flussi finanziari come meglio specificato nel disciplinare di gara.</w:t>
      </w:r>
    </w:p>
    <w:p w:rsidR="009D1A27" w:rsidRDefault="009D1A27">
      <w:pPr>
        <w:widowControl w:val="0"/>
        <w:jc w:val="both"/>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PROCEDURA</w:t>
      </w:r>
    </w:p>
    <w:p w:rsidR="009D1A27" w:rsidRDefault="00FA52AF">
      <w:pPr>
        <w:rPr>
          <w:lang w:eastAsia="it-IT"/>
        </w:rPr>
      </w:pPr>
      <w:r>
        <w:rPr>
          <w:b/>
          <w:lang w:eastAsia="it-IT"/>
        </w:rPr>
        <w:t xml:space="preserve">7.1 Tipo di procedura: </w:t>
      </w:r>
    </w:p>
    <w:p w:rsidR="009D1A27" w:rsidRDefault="00FA52AF">
      <w:pPr>
        <w:widowControl w:val="0"/>
        <w:numPr>
          <w:ilvl w:val="0"/>
          <w:numId w:val="16"/>
        </w:numPr>
        <w:jc w:val="both"/>
        <w:rPr>
          <w:color w:val="auto"/>
        </w:rPr>
      </w:pPr>
      <w:r>
        <w:rPr>
          <w:color w:val="auto"/>
        </w:rPr>
        <w:t xml:space="preserve">L’affidamento avviene mediante procedura negoziata ai sensi dell’art. 50, comma 1, del D. </w:t>
      </w:r>
      <w:proofErr w:type="spellStart"/>
      <w:r>
        <w:rPr>
          <w:color w:val="auto"/>
        </w:rPr>
        <w:t>Lgs</w:t>
      </w:r>
      <w:proofErr w:type="spellEnd"/>
      <w:r>
        <w:rPr>
          <w:color w:val="auto"/>
        </w:rPr>
        <w:t xml:space="preserve">. 36/2023. </w:t>
      </w:r>
    </w:p>
    <w:p w:rsidR="009D1A27" w:rsidRDefault="00FA52AF">
      <w:pPr>
        <w:shd w:val="clear" w:color="auto" w:fill="FFFFFF"/>
        <w:jc w:val="both"/>
        <w:rPr>
          <w:lang w:eastAsia="it-IT"/>
        </w:rPr>
      </w:pPr>
      <w:r>
        <w:rPr>
          <w:b/>
          <w:lang w:eastAsia="it-IT"/>
        </w:rPr>
        <w:t>7.2 Criteri di</w:t>
      </w:r>
      <w:r>
        <w:rPr>
          <w:b/>
          <w:lang w:eastAsia="it-IT"/>
        </w:rPr>
        <w:t xml:space="preserve"> aggiudicazione: </w:t>
      </w:r>
    </w:p>
    <w:p w:rsidR="009D1A27" w:rsidRDefault="00FA52AF">
      <w:pPr>
        <w:numPr>
          <w:ilvl w:val="0"/>
          <w:numId w:val="11"/>
        </w:numPr>
        <w:shd w:val="clear" w:color="auto" w:fill="FFFFFF"/>
        <w:jc w:val="both"/>
        <w:rPr>
          <w:lang w:eastAsia="it-IT"/>
        </w:rPr>
      </w:pPr>
      <w:r>
        <w:t>Il sistema di aggiudicazione sarà quello con il criterio Indicato all’art. 17 del presente Documento;</w:t>
      </w:r>
    </w:p>
    <w:p w:rsidR="009D1A27" w:rsidRDefault="00FA52AF">
      <w:pPr>
        <w:widowControl w:val="0"/>
        <w:numPr>
          <w:ilvl w:val="0"/>
          <w:numId w:val="11"/>
        </w:numPr>
        <w:shd w:val="clear" w:color="auto" w:fill="FFFFFF"/>
        <w:jc w:val="both"/>
      </w:pPr>
      <w:r>
        <w:rPr>
          <w:bCs/>
        </w:rPr>
        <w:t>S</w:t>
      </w:r>
      <w:r>
        <w:t>i procederà all'aggiudicazione anche in presenza di una sola offerta sempreché sia ritenuta congrua;</w:t>
      </w: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DURATA DELL’APPALTO</w:t>
      </w:r>
    </w:p>
    <w:p w:rsidR="009D1A27" w:rsidRDefault="00FA52AF">
      <w:pPr>
        <w:widowControl w:val="0"/>
        <w:shd w:val="clear" w:color="auto" w:fill="FFFFFF"/>
        <w:jc w:val="both"/>
        <w:rPr>
          <w:color w:val="auto"/>
        </w:rPr>
      </w:pPr>
      <w:r>
        <w:rPr>
          <w:color w:val="auto"/>
        </w:rPr>
        <w:t xml:space="preserve">8.1 L’appalto ha una durata temporale di giorni </w:t>
      </w:r>
      <w:r>
        <w:rPr>
          <w:b/>
          <w:shd w:val="clear" w:color="auto" w:fill="FFFFFF"/>
        </w:rPr>
        <w:t>180 (centottanta)</w:t>
      </w:r>
      <w:r>
        <w:t xml:space="preserve"> giorni dalla data di consegna dei lavori o fino all’esaurimento delle somme stanziate per l’intervento</w:t>
      </w:r>
      <w:r>
        <w:rPr>
          <w:color w:val="auto"/>
        </w:rPr>
        <w:t>;</w:t>
      </w:r>
    </w:p>
    <w:p w:rsidR="009D1A27" w:rsidRDefault="009D1A27">
      <w:pPr>
        <w:widowControl w:val="0"/>
        <w:shd w:val="clear" w:color="auto" w:fill="FFFFFF"/>
        <w:jc w:val="both"/>
        <w:rPr>
          <w:color w:val="auto"/>
        </w:rPr>
      </w:pPr>
    </w:p>
    <w:p w:rsidR="009D1A27" w:rsidRDefault="00FA52AF">
      <w:pPr>
        <w:widowControl w:val="0"/>
        <w:shd w:val="clear" w:color="auto" w:fill="FFFFFF"/>
        <w:jc w:val="both"/>
        <w:rPr>
          <w:color w:val="auto"/>
        </w:rPr>
      </w:pPr>
      <w:r>
        <w:rPr>
          <w:color w:val="auto"/>
        </w:rPr>
        <w:t>8.2 MODIFICHE AL CONTRATTO IN FASE D’ESECUZIONE</w:t>
      </w:r>
    </w:p>
    <w:p w:rsidR="009D1A27" w:rsidRDefault="00FA52AF">
      <w:pPr>
        <w:widowControl w:val="0"/>
        <w:shd w:val="clear" w:color="auto" w:fill="FFFFFF"/>
        <w:jc w:val="both"/>
        <w:rPr>
          <w:color w:val="auto"/>
        </w:rPr>
      </w:pPr>
      <w:r>
        <w:rPr>
          <w:color w:val="auto"/>
        </w:rPr>
        <w:t>Il contratto può essere modificato, s</w:t>
      </w:r>
      <w:r>
        <w:rPr>
          <w:color w:val="auto"/>
        </w:rPr>
        <w:t xml:space="preserve">enza una nuova procedura di affidamento, ai sensi dell’articolo 120 del D. </w:t>
      </w:r>
      <w:proofErr w:type="spellStart"/>
      <w:r>
        <w:rPr>
          <w:color w:val="auto"/>
        </w:rPr>
        <w:t>Lgs</w:t>
      </w:r>
      <w:proofErr w:type="spellEnd"/>
      <w:r>
        <w:rPr>
          <w:color w:val="auto"/>
        </w:rPr>
        <w:t>. 36/2023 e comunque nei termini e limiti di legge.</w:t>
      </w:r>
    </w:p>
    <w:p w:rsidR="009D1A27" w:rsidRDefault="009D1A27">
      <w:pPr>
        <w:widowControl w:val="0"/>
        <w:shd w:val="clear" w:color="auto" w:fill="FFFFFF"/>
        <w:jc w:val="both"/>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NORMATIVA DI RIFERIMENTO</w:t>
      </w:r>
    </w:p>
    <w:p w:rsidR="009D1A27" w:rsidRDefault="00FA52AF">
      <w:pPr>
        <w:shd w:val="clear" w:color="auto" w:fill="FFFFFF"/>
        <w:jc w:val="both"/>
      </w:pPr>
      <w:r>
        <w:t xml:space="preserve">La procedura di gara è disciplinata da: </w:t>
      </w:r>
    </w:p>
    <w:p w:rsidR="009D1A27" w:rsidRDefault="00FA52AF">
      <w:pPr>
        <w:numPr>
          <w:ilvl w:val="0"/>
          <w:numId w:val="9"/>
        </w:numPr>
        <w:shd w:val="clear" w:color="auto" w:fill="FFFFFF"/>
        <w:jc w:val="both"/>
        <w:rPr>
          <w:color w:val="auto"/>
        </w:rPr>
      </w:pPr>
      <w:r>
        <w:rPr>
          <w:color w:val="auto"/>
        </w:rPr>
        <w:t>Decreto Legislativo 31 marzo 2023, n. 36, Codice dei contra</w:t>
      </w:r>
      <w:r>
        <w:rPr>
          <w:color w:val="auto"/>
        </w:rPr>
        <w:t xml:space="preserve">tti pubblici in attuazione dell'articolo 1 della legge 21 giugno 2022, n. 78, recante delega al Governo in materia di contratti pubblici. (23G00044), (GU n.77 del 31-3-2023 - </w:t>
      </w:r>
      <w:proofErr w:type="spellStart"/>
      <w:r>
        <w:rPr>
          <w:color w:val="auto"/>
        </w:rPr>
        <w:t>Suppl</w:t>
      </w:r>
      <w:proofErr w:type="spellEnd"/>
      <w:r>
        <w:rPr>
          <w:color w:val="auto"/>
        </w:rPr>
        <w:t>. Ordinario n. 12).</w:t>
      </w:r>
    </w:p>
    <w:p w:rsidR="009D1A27" w:rsidRDefault="00FA52AF">
      <w:pPr>
        <w:numPr>
          <w:ilvl w:val="0"/>
          <w:numId w:val="9"/>
        </w:numPr>
        <w:shd w:val="clear" w:color="auto" w:fill="FFFFFF"/>
        <w:jc w:val="both"/>
      </w:pPr>
      <w:r>
        <w:t xml:space="preserve">Decreto del Presidente della Repubblica 5 ottobre 2010, </w:t>
      </w:r>
      <w:r>
        <w:t>n. 207 e successive modifiche ed integrazioni (</w:t>
      </w:r>
      <w:r>
        <w:rPr>
          <w:i/>
        </w:rPr>
        <w:t>Articoli che restano in vigore nel periodo transitorio</w:t>
      </w:r>
      <w:r>
        <w:t xml:space="preserve">); </w:t>
      </w:r>
    </w:p>
    <w:p w:rsidR="009D1A27" w:rsidRDefault="00FA52AF">
      <w:pPr>
        <w:numPr>
          <w:ilvl w:val="0"/>
          <w:numId w:val="9"/>
        </w:numPr>
        <w:shd w:val="clear" w:color="auto" w:fill="FFFFFF"/>
        <w:jc w:val="both"/>
      </w:pPr>
      <w:r>
        <w:t xml:space="preserve">D.L.77 Decreto-Legge convertito con modificazioni dalla L. 29 luglio 2021, n. 108 </w:t>
      </w: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DOCUMENTAZIONE DI GARA - CHIARIMENTI</w:t>
      </w:r>
    </w:p>
    <w:p w:rsidR="009D1A27" w:rsidRDefault="00FA52AF">
      <w:pPr>
        <w:rPr>
          <w:color w:val="auto"/>
        </w:rPr>
      </w:pPr>
      <w:r>
        <w:rPr>
          <w:color w:val="auto"/>
        </w:rPr>
        <w:t>La documentazione di gara è com</w:t>
      </w:r>
      <w:r>
        <w:rPr>
          <w:color w:val="auto"/>
        </w:rPr>
        <w:t>posta dai documenti elencati di seguito:</w:t>
      </w:r>
    </w:p>
    <w:p w:rsidR="009D1A27" w:rsidRDefault="00FA52AF">
      <w:pPr>
        <w:rPr>
          <w:color w:val="auto"/>
        </w:rPr>
      </w:pPr>
      <w:r>
        <w:rPr>
          <w:rFonts w:eastAsia="PalatinoLinotype-Bold"/>
          <w:b/>
          <w:bCs/>
          <w:color w:val="auto"/>
        </w:rPr>
        <w:lastRenderedPageBreak/>
        <w:t xml:space="preserve">10.1 – </w:t>
      </w:r>
      <w:r>
        <w:rPr>
          <w:color w:val="auto"/>
        </w:rPr>
        <w:t>Lettera di invito/Disciplinare di gara; -</w:t>
      </w:r>
      <w:r>
        <w:rPr>
          <w:rFonts w:eastAsia="PalatinoLinotype-Bold"/>
          <w:b/>
          <w:bCs/>
          <w:color w:val="auto"/>
        </w:rPr>
        <w:t xml:space="preserve"> </w:t>
      </w:r>
      <w:r>
        <w:rPr>
          <w:color w:val="auto"/>
        </w:rPr>
        <w:t>Modulistica per la partecipazione alla gara e per la formulazione dell’offerta</w:t>
      </w:r>
      <w:r>
        <w:rPr>
          <w:rFonts w:eastAsia="PalatinoLinotype-Bold"/>
          <w:bCs/>
          <w:color w:val="auto"/>
        </w:rPr>
        <w:t>; Capitolato speciale d’appalto</w:t>
      </w:r>
      <w:r>
        <w:rPr>
          <w:color w:val="auto"/>
        </w:rPr>
        <w:t>; vengono messi a disposizione dei candidati anche eventu</w:t>
      </w:r>
      <w:r>
        <w:rPr>
          <w:color w:val="auto"/>
        </w:rPr>
        <w:t>ali altri elaborati (planimetrie, elenchi, ecc.)</w:t>
      </w:r>
    </w:p>
    <w:p w:rsidR="009D1A27" w:rsidRDefault="00FA52AF">
      <w:pPr>
        <w:jc w:val="both"/>
        <w:rPr>
          <w:rFonts w:eastAsia="PalatinoLinotype-Bold"/>
          <w:bCs/>
          <w:color w:val="auto"/>
        </w:rPr>
      </w:pPr>
      <w:r>
        <w:rPr>
          <w:rFonts w:eastAsia="PalatinoLinotype-Bold"/>
          <w:b/>
          <w:bCs/>
          <w:color w:val="auto"/>
        </w:rPr>
        <w:t>10.2</w:t>
      </w:r>
      <w:r>
        <w:rPr>
          <w:rFonts w:eastAsia="PalatinoLinotype-Bold"/>
          <w:bCs/>
          <w:color w:val="auto"/>
        </w:rPr>
        <w:t xml:space="preserve"> E’ possibile ottenere chiarimenti sulla presente procedura mediante la proposizione di quesiti scritti utilizzando il </w:t>
      </w:r>
      <w:r>
        <w:rPr>
          <w:b/>
          <w:i/>
        </w:rPr>
        <w:t xml:space="preserve">sistema di intermediazione telematica </w:t>
      </w:r>
      <w:r>
        <w:rPr>
          <w:b/>
        </w:rPr>
        <w:t>“TUTTOGARE” in dotazione all’Ente, all’indiriz</w:t>
      </w:r>
      <w:r>
        <w:rPr>
          <w:b/>
        </w:rPr>
        <w:t xml:space="preserve">zo: </w:t>
      </w:r>
      <w:hyperlink r:id="rId13">
        <w:r>
          <w:rPr>
            <w:rStyle w:val="Collegamentoipertestuale"/>
          </w:rPr>
          <w:t>https://lccsiracusa.tuttogare.it/</w:t>
        </w:r>
      </w:hyperlink>
      <w:r>
        <w:t xml:space="preserve"> Il link al portale di E-PROCUREMENT è presente sulla home page del Libero Consorzio Comunale di Siracusa all’indirizzo: </w:t>
      </w:r>
      <w:hyperlink r:id="rId14">
        <w:r>
          <w:rPr>
            <w:rStyle w:val="Collegamentoipertestuale"/>
          </w:rPr>
          <w:t>www.provincia.Siracusa.it</w:t>
        </w:r>
      </w:hyperlink>
      <w:r>
        <w:rPr>
          <w:rFonts w:eastAsia="PalatinoLinotype-Bold"/>
          <w:bCs/>
          <w:color w:val="auto"/>
        </w:rPr>
        <w:t xml:space="preserve"> entro il 09/12/2025. Non saranno, pertanto, fornite risposte ai quesiti pervenuti successivamente al termine indicato. Le risposte a tutte le richieste di chiarimenti presentate in tempo utile verranno fornite, attraverso </w:t>
      </w:r>
      <w:r>
        <w:rPr>
          <w:rFonts w:eastAsia="PalatinoLinotype-Bold"/>
          <w:bCs/>
          <w:color w:val="auto"/>
        </w:rPr>
        <w:t>lo stesso mezzo, entro il 10/12/2025.</w:t>
      </w:r>
    </w:p>
    <w:p w:rsidR="009D1A27" w:rsidRDefault="00FA52AF">
      <w:pPr>
        <w:widowControl w:val="0"/>
        <w:jc w:val="both"/>
        <w:rPr>
          <w:color w:val="auto"/>
        </w:rPr>
      </w:pPr>
      <w:r>
        <w:rPr>
          <w:b/>
          <w:color w:val="auto"/>
        </w:rPr>
        <w:t>10.3</w:t>
      </w:r>
      <w:r>
        <w:rPr>
          <w:color w:val="auto"/>
        </w:rPr>
        <w:t xml:space="preserve"> Tutte le comunicazioni e tutti gli scambi di informazioni tra stazione appaltante e operatori economici si intendono validamente ed efficacemente effettuate qualora rese, ai sensi dell’art. 76, del D. </w:t>
      </w:r>
      <w:proofErr w:type="spellStart"/>
      <w:r>
        <w:rPr>
          <w:color w:val="auto"/>
        </w:rPr>
        <w:t>Lgs</w:t>
      </w:r>
      <w:proofErr w:type="spellEnd"/>
      <w:r>
        <w:rPr>
          <w:color w:val="auto"/>
        </w:rPr>
        <w:t xml:space="preserve"> 50/2016 </w:t>
      </w:r>
      <w:proofErr w:type="spellStart"/>
      <w:r>
        <w:rPr>
          <w:color w:val="auto"/>
        </w:rPr>
        <w:t>ss.mm.ii</w:t>
      </w:r>
      <w:proofErr w:type="spellEnd"/>
      <w:r>
        <w:rPr>
          <w:color w:val="auto"/>
        </w:rPr>
        <w:t xml:space="preserve">. Le comunicazioni verranno effettuate attraverso il sistema di comunicazioni della piattaforma </w:t>
      </w:r>
      <w:r>
        <w:rPr>
          <w:b/>
          <w:i/>
        </w:rPr>
        <w:t xml:space="preserve">intermediazione telematica </w:t>
      </w:r>
      <w:r>
        <w:rPr>
          <w:b/>
        </w:rPr>
        <w:t xml:space="preserve">“TUTTOGARE” all’indirizzo </w:t>
      </w:r>
      <w:hyperlink r:id="rId15">
        <w:r>
          <w:rPr>
            <w:rStyle w:val="Collegamentoipertestuale"/>
          </w:rPr>
          <w:t>https://lccsiracusa.tuttogare.it/</w:t>
        </w:r>
      </w:hyperlink>
      <w:r>
        <w:t xml:space="preserve">. </w:t>
      </w:r>
      <w:r>
        <w:rPr>
          <w:color w:val="auto"/>
        </w:rPr>
        <w:t xml:space="preserve">Eventuali </w:t>
      </w:r>
      <w:r>
        <w:rPr>
          <w:color w:val="auto"/>
        </w:rPr>
        <w:t>modifiche dell’indirizzo PEC o problemi temporanei nell’utilizzo di tali forme di comunicazione, dovranno essere tempestivamente segnalate all’ufficio; diversamente l’amministrazione declina ogni responsabilità per il tardivo o mancato recapito delle comun</w:t>
      </w:r>
      <w:r>
        <w:rPr>
          <w:color w:val="auto"/>
        </w:rPr>
        <w:t>icazioni;</w:t>
      </w:r>
    </w:p>
    <w:p w:rsidR="009D1A27" w:rsidRDefault="009D1A27">
      <w:pPr>
        <w:widowControl w:val="0"/>
        <w:jc w:val="both"/>
        <w:rPr>
          <w:color w:val="auto"/>
        </w:rPr>
      </w:pPr>
    </w:p>
    <w:p w:rsidR="009D1A27" w:rsidRDefault="00FA52AF">
      <w:pPr>
        <w:jc w:val="center"/>
      </w:pPr>
      <w:r>
        <w:t>MODALITA’ DI PRESENTAZIONE DELLA DOCUMENTAZIONE</w:t>
      </w:r>
    </w:p>
    <w:p w:rsidR="009D1A27" w:rsidRDefault="00FA52AF">
      <w:pPr>
        <w:pStyle w:val="CM21"/>
        <w:ind w:right="-54"/>
        <w:contextualSpacing/>
        <w:jc w:val="both"/>
        <w:rPr>
          <w:b/>
          <w:i/>
          <w:color w:val="000000"/>
        </w:rPr>
      </w:pPr>
      <w:r>
        <w:rPr>
          <w:b/>
          <w:i/>
          <w:color w:val="000000"/>
        </w:rPr>
        <w:t>La procedura di scelta del contraente viene condotta mediante l’ausilio di sistemi informatici e l’utilizzazione di modalità di comunicazione in forma elettronica, nel rispetto della normativa vigente in materia di appalti pubblici e di strumenti telematic</w:t>
      </w:r>
      <w:r>
        <w:rPr>
          <w:b/>
          <w:i/>
          <w:color w:val="000000"/>
        </w:rPr>
        <w:t xml:space="preserve">i. Il Libero Consorzio Comunale di Siracusa, di seguito denominato stazione appaltante, utilizza il sistema di intermediazione telematica </w:t>
      </w:r>
      <w:r>
        <w:rPr>
          <w:b/>
        </w:rPr>
        <w:t xml:space="preserve">“TUTTOGARE” all’indirizzo </w:t>
      </w:r>
      <w:hyperlink r:id="rId16">
        <w:r>
          <w:rPr>
            <w:rStyle w:val="Collegamentoipertestuale"/>
          </w:rPr>
          <w:t>https://lccsiracusa.tuttogare.it/</w:t>
        </w:r>
      </w:hyperlink>
      <w:r>
        <w:t>.</w:t>
      </w:r>
    </w:p>
    <w:p w:rsidR="009D1A27" w:rsidRDefault="009D1A27">
      <w:pPr>
        <w:shd w:val="clear" w:color="auto" w:fill="FFFFFF"/>
        <w:jc w:val="both"/>
        <w:rPr>
          <w:color w:val="auto"/>
        </w:rPr>
      </w:pPr>
    </w:p>
    <w:p w:rsidR="009D1A27" w:rsidRDefault="00FA52AF">
      <w:pPr>
        <w:pStyle w:val="CM21"/>
        <w:ind w:right="-54" w:firstLine="720"/>
        <w:contextualSpacing/>
        <w:jc w:val="both"/>
        <w:rPr>
          <w:i/>
          <w:color w:val="000000"/>
        </w:rPr>
      </w:pPr>
      <w:r>
        <w:rPr>
          <w:i/>
          <w:color w:val="000000"/>
        </w:rPr>
        <w:t>Con</w:t>
      </w:r>
      <w:r>
        <w:rPr>
          <w:i/>
          <w:color w:val="000000"/>
        </w:rPr>
        <w:t xml:space="preserve"> l’avvenuta partecipazione si intendono pienamente conosciute ed accettate tutte le modalità di esecuzione, le indicazioni, le prescrizioni e quant’altro previsto dalla presente lettera di invito, dal </w:t>
      </w:r>
      <w:r>
        <w:rPr>
          <w:i/>
        </w:rPr>
        <w:t>Capitolato Prestazionale</w:t>
      </w:r>
      <w:r>
        <w:rPr>
          <w:i/>
          <w:color w:val="000000"/>
        </w:rPr>
        <w:t xml:space="preserve"> e dalla documentazione di gara</w:t>
      </w:r>
      <w:r>
        <w:rPr>
          <w:i/>
          <w:color w:val="000000"/>
        </w:rPr>
        <w:t xml:space="preserve">. </w:t>
      </w:r>
    </w:p>
    <w:p w:rsidR="009D1A27" w:rsidRDefault="00FA52AF">
      <w:pPr>
        <w:pStyle w:val="CM24"/>
        <w:ind w:right="-54" w:firstLine="720"/>
        <w:contextualSpacing/>
        <w:jc w:val="both"/>
        <w:rPr>
          <w:i/>
          <w:color w:val="000000"/>
        </w:rPr>
      </w:pPr>
      <w:r>
        <w:rPr>
          <w:i/>
          <w:color w:val="000000"/>
        </w:rPr>
        <w:t>Resta fermo che il presente invito non costituisce presunzione di ammissibilità del concorrente e che la stazione appaltante può non procedere all’aggiudicazione dei lavori senza che il concorrente possa vantare alcun diritto in merito, inoltre la stazi</w:t>
      </w:r>
      <w:r>
        <w:rPr>
          <w:i/>
          <w:color w:val="000000"/>
        </w:rPr>
        <w:t xml:space="preserve">one appaltante può procedere all’esclusione anche in ragione di cause ostative non rilevate durante lo svolgimento della procedura o intervenute successivamente alla conclusione della medesima. </w:t>
      </w:r>
    </w:p>
    <w:p w:rsidR="009D1A27" w:rsidRDefault="00FA52AF">
      <w:pPr>
        <w:pStyle w:val="Corpotesto1"/>
        <w:jc w:val="both"/>
        <w:rPr>
          <w:rFonts w:ascii="Times New Roman" w:hAnsi="Times New Roman"/>
          <w:szCs w:val="24"/>
          <w:lang w:val="it-IT"/>
        </w:rPr>
      </w:pPr>
      <w:r>
        <w:rPr>
          <w:rFonts w:ascii="Times New Roman" w:hAnsi="Times New Roman"/>
          <w:i/>
          <w:szCs w:val="24"/>
          <w:lang w:val="it-IT"/>
        </w:rPr>
        <w:t>La stazione appaltante si riserva di sospendere, differire, o</w:t>
      </w:r>
      <w:r>
        <w:rPr>
          <w:rFonts w:ascii="Times New Roman" w:hAnsi="Times New Roman"/>
          <w:i/>
          <w:szCs w:val="24"/>
          <w:lang w:val="it-IT"/>
        </w:rPr>
        <w:t xml:space="preserve"> revocare il presente procedimento di gara, senza alcun diritto dei concorrenti a rimborso spese o quant’altro.</w:t>
      </w:r>
    </w:p>
    <w:p w:rsidR="009D1A27" w:rsidRDefault="009D1A27">
      <w:pPr>
        <w:shd w:val="clear" w:color="auto" w:fill="FFFFFF"/>
        <w:jc w:val="both"/>
      </w:pPr>
    </w:p>
    <w:p w:rsidR="009D1A27" w:rsidRDefault="00FA52AF">
      <w:pPr>
        <w:widowControl w:val="0"/>
        <w:jc w:val="both"/>
        <w:rPr>
          <w:color w:val="auto"/>
        </w:rPr>
      </w:pPr>
      <w:r>
        <w:rPr>
          <w:color w:val="auto"/>
        </w:rPr>
        <w:t>Tutte le dichiarazioni sostitutive richieste ai fini della partecipazione alla presente procedura di gara:</w:t>
      </w:r>
    </w:p>
    <w:p w:rsidR="009D1A27" w:rsidRDefault="00FA52AF">
      <w:pPr>
        <w:widowControl w:val="0"/>
        <w:ind w:left="425"/>
        <w:jc w:val="both"/>
        <w:rPr>
          <w:color w:val="auto"/>
        </w:rPr>
      </w:pPr>
      <w:r>
        <w:rPr>
          <w:color w:val="auto"/>
        </w:rPr>
        <w:t>a) devono essere rilasciate ai sensi</w:t>
      </w:r>
      <w:r>
        <w:rPr>
          <w:color w:val="auto"/>
        </w:rPr>
        <w:t xml:space="preserve"> degli artt. 46 e 47 </w:t>
      </w:r>
      <w:r>
        <w:rPr>
          <w:color w:val="auto"/>
          <w:lang w:eastAsia="it-IT"/>
        </w:rPr>
        <w:t xml:space="preserve">del </w:t>
      </w:r>
      <w:proofErr w:type="spellStart"/>
      <w:r>
        <w:rPr>
          <w:color w:val="auto"/>
          <w:lang w:eastAsia="it-IT"/>
        </w:rPr>
        <w:t>d.P.R.</w:t>
      </w:r>
      <w:proofErr w:type="spellEnd"/>
      <w:r>
        <w:rPr>
          <w:color w:val="auto"/>
          <w:lang w:eastAsia="it-IT"/>
        </w:rPr>
        <w:t xml:space="preserve"> 28 dicembre 2000, n. 445 e ss.mm. ii. </w:t>
      </w:r>
      <w:r>
        <w:rPr>
          <w:color w:val="auto"/>
        </w:rPr>
        <w:t>in carta semplice, con la sottoscrizione del dichiarante (rappresentante legale del candidato o altro soggetto dotato del potere di impegnare contrattualmente il candidato stesso); al ta</w:t>
      </w:r>
      <w:r>
        <w:rPr>
          <w:color w:val="auto"/>
        </w:rPr>
        <w:t>le fine le stesse devono essere corredate dalla copia fotostatica di un documento di riconoscimento del dichiarante, in corso di validità; per ciascun dichiarante è sufficiente una sola copia del documento di riconoscimento anche in presenza di più dichiar</w:t>
      </w:r>
      <w:r>
        <w:rPr>
          <w:color w:val="auto"/>
        </w:rPr>
        <w:t>azioni su più fogli distinti;</w:t>
      </w:r>
    </w:p>
    <w:p w:rsidR="009D1A27" w:rsidRDefault="00FA52AF">
      <w:pPr>
        <w:widowControl w:val="0"/>
        <w:ind w:left="425"/>
        <w:jc w:val="both"/>
        <w:rPr>
          <w:color w:val="auto"/>
        </w:rPr>
      </w:pPr>
      <w:r>
        <w:rPr>
          <w:color w:val="auto"/>
        </w:rPr>
        <w:t>b) potranno essere sottoscritte digitalmente anche da procuratori dei legali rappresentati e, in tal caso, alle dichiarazioni dovrà essere allegata copia conforme all’originale della relativa procura;</w:t>
      </w:r>
    </w:p>
    <w:p w:rsidR="009D1A27" w:rsidRDefault="00FA52AF">
      <w:pPr>
        <w:widowControl w:val="0"/>
        <w:ind w:left="426"/>
        <w:jc w:val="both"/>
        <w:rPr>
          <w:color w:val="auto"/>
        </w:rPr>
      </w:pPr>
      <w:r>
        <w:rPr>
          <w:color w:val="auto"/>
        </w:rPr>
        <w:t>c) devono essere rese e s</w:t>
      </w:r>
      <w:r>
        <w:rPr>
          <w:color w:val="auto"/>
        </w:rPr>
        <w:t>ottoscritte dai concorrenti, in qualsiasi forma di partecipazione, singoli, raggruppati, consorziati, aggregati in rete di imprese, ancorché appartenenti alle eventuali imprese ausiliarie, ognuno per quanto di propria competenza.</w:t>
      </w:r>
    </w:p>
    <w:p w:rsidR="009D1A27" w:rsidRDefault="00FA52AF">
      <w:pPr>
        <w:widowControl w:val="0"/>
        <w:jc w:val="both"/>
        <w:rPr>
          <w:color w:val="auto"/>
        </w:rPr>
      </w:pPr>
      <w:r>
        <w:rPr>
          <w:color w:val="auto"/>
        </w:rPr>
        <w:t>Le dichiarazioni ed i docu</w:t>
      </w:r>
      <w:r>
        <w:rPr>
          <w:color w:val="auto"/>
        </w:rPr>
        <w:t xml:space="preserve">menti possono essere oggetto di richieste di chiarimenti da parte della stazione appaltante </w:t>
      </w:r>
    </w:p>
    <w:p w:rsidR="009D1A27" w:rsidRDefault="009D1A27">
      <w:pPr>
        <w:widowControl w:val="0"/>
        <w:jc w:val="both"/>
        <w:rPr>
          <w:rFonts w:eastAsia="PalatinoLinotype-Bold"/>
          <w:b/>
          <w:bCs/>
          <w:color w:val="auto"/>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lastRenderedPageBreak/>
        <w:t>SUBAPPALTO E AVVALIMENTO</w:t>
      </w:r>
    </w:p>
    <w:p w:rsidR="009D1A27" w:rsidRDefault="00FA52AF">
      <w:pPr>
        <w:pStyle w:val="Titolo2"/>
      </w:pPr>
      <w:r>
        <w:t>11.1 SUBAPPALTO:</w:t>
      </w:r>
    </w:p>
    <w:p w:rsidR="009D1A27" w:rsidRDefault="00FA52AF">
      <w:pPr>
        <w:widowControl w:val="0"/>
        <w:ind w:firstLine="426"/>
        <w:jc w:val="both"/>
        <w:rPr>
          <w:color w:val="auto"/>
        </w:rPr>
      </w:pPr>
      <w:r>
        <w:rPr>
          <w:color w:val="auto"/>
        </w:rPr>
        <w:t xml:space="preserve">Il concorrente indica le prestazioni che intende subappaltare o concedere in cottimo. In caso di mancata indicazione il </w:t>
      </w:r>
      <w:r>
        <w:rPr>
          <w:color w:val="auto"/>
        </w:rPr>
        <w:t>subappalto è vietato.</w:t>
      </w:r>
    </w:p>
    <w:p w:rsidR="009D1A27" w:rsidRDefault="00FA52AF">
      <w:pPr>
        <w:pStyle w:val="Titolo2"/>
      </w:pPr>
      <w:r>
        <w:t xml:space="preserve">11.2 AVVALIMENTO </w:t>
      </w:r>
    </w:p>
    <w:p w:rsidR="009D1A27" w:rsidRDefault="00FA52AF">
      <w:pPr>
        <w:shd w:val="clear" w:color="auto" w:fill="FFFFFF"/>
        <w:jc w:val="both"/>
        <w:rPr>
          <w:b/>
          <w:color w:val="auto"/>
        </w:rPr>
      </w:pPr>
      <w:r>
        <w:rPr>
          <w:color w:val="auto"/>
          <w:lang w:eastAsia="it-IT"/>
        </w:rPr>
        <w:t xml:space="preserve">Nella presente procedura è ammesso l’istituto dell’Avvalimento ai sensi dell’art. 104 del D. </w:t>
      </w:r>
      <w:proofErr w:type="spellStart"/>
      <w:r>
        <w:rPr>
          <w:color w:val="auto"/>
          <w:lang w:eastAsia="it-IT"/>
        </w:rPr>
        <w:t>Lgs</w:t>
      </w:r>
      <w:proofErr w:type="spellEnd"/>
      <w:r>
        <w:rPr>
          <w:color w:val="auto"/>
          <w:lang w:eastAsia="it-IT"/>
        </w:rPr>
        <w:t xml:space="preserve">. 36/2023. </w:t>
      </w:r>
    </w:p>
    <w:p w:rsidR="009D1A27" w:rsidRDefault="00FA52AF">
      <w:pPr>
        <w:widowControl w:val="0"/>
        <w:jc w:val="both"/>
        <w:rPr>
          <w:color w:val="auto"/>
        </w:rPr>
      </w:pPr>
      <w:r>
        <w:rPr>
          <w:color w:val="auto"/>
        </w:rPr>
        <w:t>L’ausiliario deve:</w:t>
      </w:r>
    </w:p>
    <w:p w:rsidR="009D1A27" w:rsidRDefault="00FA52AF">
      <w:pPr>
        <w:widowControl w:val="0"/>
        <w:jc w:val="both"/>
        <w:rPr>
          <w:color w:val="auto"/>
        </w:rPr>
      </w:pPr>
      <w:r>
        <w:rPr>
          <w:color w:val="auto"/>
        </w:rPr>
        <w:t>a) possedere i requisiti di ordine generale e dichiararli presentando un proprio DGUE, da</w:t>
      </w:r>
      <w:r>
        <w:rPr>
          <w:color w:val="auto"/>
        </w:rPr>
        <w:t xml:space="preserve"> compilare nelle parti pertinenti;</w:t>
      </w:r>
    </w:p>
    <w:p w:rsidR="009D1A27" w:rsidRDefault="00FA52AF">
      <w:pPr>
        <w:widowControl w:val="0"/>
        <w:jc w:val="both"/>
        <w:rPr>
          <w:color w:val="auto"/>
        </w:rPr>
      </w:pPr>
      <w:r>
        <w:rPr>
          <w:color w:val="auto"/>
        </w:rPr>
        <w:t>b) possedere i requisiti tecnico economici oggetto di avvalimento e dichiararli nel proprio DGUE, da compilare nelle parti pertinenti;</w:t>
      </w:r>
    </w:p>
    <w:p w:rsidR="009D1A27" w:rsidRDefault="00FA52AF">
      <w:pPr>
        <w:widowControl w:val="0"/>
        <w:jc w:val="both"/>
        <w:rPr>
          <w:color w:val="auto"/>
        </w:rPr>
      </w:pPr>
      <w:r>
        <w:rPr>
          <w:color w:val="auto"/>
        </w:rPr>
        <w:t>c) impegnarsi, verso il concorrente che si avvale e verso la stazione appaltante, a me</w:t>
      </w:r>
      <w:r>
        <w:rPr>
          <w:color w:val="auto"/>
        </w:rPr>
        <w:t>ttere a disposizione, per tutta la durata dell’appalto, le risorse (riferite a requisiti di partecipazione e/o premiali) oggetto di avvalimento</w:t>
      </w:r>
    </w:p>
    <w:p w:rsidR="009D1A27" w:rsidRDefault="00FA52AF">
      <w:pPr>
        <w:widowControl w:val="0"/>
        <w:numPr>
          <w:ilvl w:val="0"/>
          <w:numId w:val="15"/>
        </w:numPr>
        <w:ind w:left="284" w:hanging="284"/>
        <w:jc w:val="both"/>
        <w:rPr>
          <w:color w:val="auto"/>
        </w:rPr>
      </w:pPr>
      <w:r>
        <w:rPr>
          <w:color w:val="auto"/>
        </w:rPr>
        <w:t>Il concorrente allega alla domanda di partecipazione il contratto di avvalimento, che deve essere nativo digital</w:t>
      </w:r>
      <w:r>
        <w:rPr>
          <w:color w:val="auto"/>
        </w:rPr>
        <w:t>e e firmato digitalmente dalle parti, nonché le dichiarazioni dell’ausiliario.</w:t>
      </w:r>
    </w:p>
    <w:p w:rsidR="009D1A27" w:rsidRDefault="00FA52AF">
      <w:pPr>
        <w:widowControl w:val="0"/>
        <w:numPr>
          <w:ilvl w:val="0"/>
          <w:numId w:val="15"/>
        </w:numPr>
        <w:ind w:left="284" w:hanging="284"/>
        <w:jc w:val="both"/>
        <w:rPr>
          <w:color w:val="auto"/>
        </w:rPr>
      </w:pPr>
      <w:r>
        <w:rPr>
          <w:color w:val="auto"/>
        </w:rPr>
        <w:t>È sanabile, mediante soccorso istruttorio, la mancata produzione delle dichiarazioni dell’ausiliario.</w:t>
      </w:r>
    </w:p>
    <w:p w:rsidR="009D1A27" w:rsidRDefault="00FA52AF">
      <w:pPr>
        <w:widowControl w:val="0"/>
        <w:numPr>
          <w:ilvl w:val="0"/>
          <w:numId w:val="15"/>
        </w:numPr>
        <w:ind w:left="284" w:hanging="284"/>
        <w:jc w:val="both"/>
        <w:rPr>
          <w:color w:val="auto"/>
        </w:rPr>
      </w:pPr>
      <w:r>
        <w:rPr>
          <w:color w:val="auto"/>
        </w:rPr>
        <w:t>È sanabile, mediante soccorso istruttorio, la mancata produzione del contra</w:t>
      </w:r>
      <w:r>
        <w:rPr>
          <w:color w:val="auto"/>
        </w:rPr>
        <w:t>tto di avvalimento a condizione che il contratto sia stato stipulato prima del termine di presentazione dell’offerta e che tale circostanza sia comprovabile con data certa.</w:t>
      </w:r>
    </w:p>
    <w:p w:rsidR="009D1A27" w:rsidRDefault="00FA52AF">
      <w:pPr>
        <w:widowControl w:val="0"/>
        <w:numPr>
          <w:ilvl w:val="0"/>
          <w:numId w:val="15"/>
        </w:numPr>
        <w:ind w:left="284" w:hanging="284"/>
        <w:jc w:val="both"/>
        <w:rPr>
          <w:color w:val="auto"/>
        </w:rPr>
      </w:pPr>
      <w:r>
        <w:rPr>
          <w:color w:val="auto"/>
        </w:rPr>
        <w:t>Non è sanabile la mancata indicazione delle risorse messe a disposizione dall’ausil</w:t>
      </w:r>
      <w:r>
        <w:rPr>
          <w:color w:val="auto"/>
        </w:rPr>
        <w:t>iario in quanto causa di nullità del contratto di avvalimento.</w:t>
      </w:r>
    </w:p>
    <w:p w:rsidR="009D1A27" w:rsidRDefault="00FA52AF">
      <w:pPr>
        <w:widowControl w:val="0"/>
        <w:numPr>
          <w:ilvl w:val="0"/>
          <w:numId w:val="15"/>
        </w:numPr>
        <w:ind w:left="284" w:hanging="284"/>
        <w:jc w:val="both"/>
        <w:rPr>
          <w:color w:val="auto"/>
        </w:rPr>
      </w:pPr>
      <w:r>
        <w:rPr>
          <w:color w:val="auto"/>
        </w:rPr>
        <w:t>Qualora per l’ausiliario sussistano motivi di esclusione o laddove esso non soddisfi i requisiti di ordine speciale, il concorrente sostituisce l’ausiliario entro 10 giorni decorrenti dal ricev</w:t>
      </w:r>
      <w:r>
        <w:rPr>
          <w:color w:val="auto"/>
        </w:rPr>
        <w:t>imento della richiesta da parte della stazione appaltante. Contestualmente il concorrente produce i documenti richiesti per l’avvalimento.</w:t>
      </w:r>
    </w:p>
    <w:p w:rsidR="009D1A27" w:rsidRDefault="00FA52AF">
      <w:pPr>
        <w:widowControl w:val="0"/>
        <w:numPr>
          <w:ilvl w:val="0"/>
          <w:numId w:val="15"/>
        </w:numPr>
        <w:ind w:left="284" w:hanging="284"/>
        <w:jc w:val="both"/>
        <w:rPr>
          <w:color w:val="auto"/>
        </w:rPr>
      </w:pPr>
      <w:r>
        <w:rPr>
          <w:color w:val="auto"/>
        </w:rPr>
        <w:t>Nel caso in cui l’ausiliario si sia reso responsabile di una falsa dichiarazione sul possesso dei requisiti, la stazi</w:t>
      </w:r>
      <w:r>
        <w:rPr>
          <w:color w:val="auto"/>
        </w:rPr>
        <w:t xml:space="preserve">one appaltante procede a segnalare all’Autorità nazionale anticorruzione il comportamento tenuto dall’ausiliario per consentire le valutazioni di cui all’articolo 96, comma 15, del Codice. L’operatore economico può indicare un altro ausiliario nel termine </w:t>
      </w:r>
      <w:r>
        <w:rPr>
          <w:color w:val="auto"/>
        </w:rPr>
        <w:t>di dieci giorni, pena l’esclusione dalla gara. La sostituzione può essere effettuata soltanto nel caso in cui non conduca a una modifica sostanziale dell’offerta. Il mancato rispetto del termine assegnato per la sostituzione comporta l’esclusione del conco</w:t>
      </w:r>
      <w:r>
        <w:rPr>
          <w:color w:val="auto"/>
        </w:rPr>
        <w:t xml:space="preserve">rrente. </w:t>
      </w:r>
    </w:p>
    <w:p w:rsidR="009D1A27" w:rsidRDefault="009D1A27">
      <w:pPr>
        <w:widowControl w:val="0"/>
        <w:jc w:val="both"/>
        <w:rPr>
          <w:color w:val="auto"/>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CAUZIONI E GARANZIE RICHIESTE</w:t>
      </w:r>
    </w:p>
    <w:p w:rsidR="009D1A27" w:rsidRDefault="00FA52AF">
      <w:pPr>
        <w:widowControl w:val="0"/>
        <w:jc w:val="both"/>
        <w:rPr>
          <w:color w:val="auto"/>
          <w:lang w:eastAsia="it-IT"/>
        </w:rPr>
      </w:pPr>
      <w:r>
        <w:rPr>
          <w:color w:val="auto"/>
          <w:lang w:eastAsia="it-IT"/>
        </w:rPr>
        <w:t xml:space="preserve">Ai sensi dell’art. 53 co. 1 del Dlgs36/2023, per la presente procedura non è richiesta garanzia provvisoria di cui all’art. 106 dello stesso </w:t>
      </w:r>
      <w:proofErr w:type="spellStart"/>
      <w:r>
        <w:rPr>
          <w:color w:val="auto"/>
          <w:lang w:eastAsia="it-IT"/>
        </w:rPr>
        <w:t>Dlgs</w:t>
      </w:r>
      <w:proofErr w:type="spellEnd"/>
      <w:r>
        <w:rPr>
          <w:color w:val="auto"/>
          <w:lang w:eastAsia="it-IT"/>
        </w:rPr>
        <w:t xml:space="preserve"> 36/2023;</w:t>
      </w:r>
    </w:p>
    <w:p w:rsidR="009D1A27" w:rsidRDefault="00FA52AF">
      <w:pPr>
        <w:widowControl w:val="0"/>
        <w:jc w:val="both"/>
        <w:rPr>
          <w:color w:val="auto"/>
          <w:lang w:eastAsia="it-IT"/>
        </w:rPr>
      </w:pPr>
      <w:r>
        <w:rPr>
          <w:color w:val="auto"/>
          <w:lang w:eastAsia="it-IT"/>
        </w:rPr>
        <w:t>Per la sottoscrizione del contratto l'appaltatore dovrà costi</w:t>
      </w:r>
      <w:r>
        <w:rPr>
          <w:color w:val="auto"/>
          <w:lang w:eastAsia="it-IT"/>
        </w:rPr>
        <w:t xml:space="preserve">tuire una garanzia, denominata «garanzia definitiva» di cui all’art. 117 del D. </w:t>
      </w:r>
      <w:proofErr w:type="spellStart"/>
      <w:r>
        <w:rPr>
          <w:color w:val="auto"/>
          <w:lang w:eastAsia="it-IT"/>
        </w:rPr>
        <w:t>Lgs</w:t>
      </w:r>
      <w:proofErr w:type="spellEnd"/>
      <w:r>
        <w:rPr>
          <w:color w:val="auto"/>
          <w:lang w:eastAsia="it-IT"/>
        </w:rPr>
        <w:t xml:space="preserve">. 36/2023, a sua scelta </w:t>
      </w:r>
      <w:proofErr w:type="spellStart"/>
      <w:r>
        <w:rPr>
          <w:color w:val="auto"/>
          <w:lang w:eastAsia="it-IT"/>
        </w:rPr>
        <w:t>sottoforma</w:t>
      </w:r>
      <w:proofErr w:type="spellEnd"/>
      <w:r>
        <w:rPr>
          <w:color w:val="auto"/>
          <w:lang w:eastAsia="it-IT"/>
        </w:rPr>
        <w:t xml:space="preserve"> di cauzione o fideiussione con le modalità previste dall'articolo 106, dell’importo calcolato con le modalità indicate all’art. 117, co. 2</w:t>
      </w:r>
      <w:r>
        <w:rPr>
          <w:color w:val="auto"/>
          <w:lang w:eastAsia="it-IT"/>
        </w:rPr>
        <w:t xml:space="preserve"> del predetto </w:t>
      </w:r>
      <w:proofErr w:type="spellStart"/>
      <w:r>
        <w:rPr>
          <w:color w:val="auto"/>
          <w:lang w:eastAsia="it-IT"/>
        </w:rPr>
        <w:t>D.Lgs</w:t>
      </w:r>
      <w:proofErr w:type="spellEnd"/>
      <w:r>
        <w:rPr>
          <w:color w:val="auto"/>
          <w:lang w:eastAsia="it-IT"/>
        </w:rPr>
        <w:t xml:space="preserve"> 36/2023;</w:t>
      </w:r>
    </w:p>
    <w:p w:rsidR="009D1A27" w:rsidRDefault="009D1A27">
      <w:pPr>
        <w:widowControl w:val="0"/>
        <w:jc w:val="both"/>
        <w:rPr>
          <w:color w:val="auto"/>
          <w:lang w:eastAsia="it-IT"/>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lang w:eastAsia="it-IT"/>
        </w:rPr>
      </w:pPr>
      <w:r>
        <w:rPr>
          <w:rFonts w:ascii="Times New Roman" w:hAnsi="Times New Roman"/>
          <w:color w:val="FFFFFF"/>
          <w:sz w:val="24"/>
          <w:szCs w:val="24"/>
          <w:lang w:eastAsia="it-IT"/>
        </w:rPr>
        <w:t>PAGAMENTO IN FAVORE DELL’AUTORITA’</w:t>
      </w:r>
    </w:p>
    <w:p w:rsidR="009D1A27" w:rsidRDefault="00FA52AF">
      <w:pPr>
        <w:jc w:val="both"/>
        <w:rPr>
          <w:lang w:eastAsia="it-IT"/>
        </w:rPr>
      </w:pPr>
      <w:r>
        <w:rPr>
          <w:lang w:eastAsia="it-IT"/>
        </w:rPr>
        <w:t>per la partecipazione alla gara è dovuto il versamento di € 35,00 secondo le modalità di cui alla delibera ANAC n. 621 del 20.12.2022 Attuazione dell’articolo 1, commi 65 e 67, della legge 23</w:t>
      </w:r>
      <w:r>
        <w:rPr>
          <w:lang w:eastAsia="it-IT"/>
        </w:rPr>
        <w:t xml:space="preserve"> dicembre 2005, n. 266, per l’anno 2022 pubblicata al seguente link </w:t>
      </w:r>
      <w:hyperlink r:id="rId17">
        <w:r>
          <w:rPr>
            <w:rStyle w:val="Collegamentoipertestuale"/>
            <w:lang w:eastAsia="it-IT"/>
          </w:rPr>
          <w:t>https://www.anticorruzione.it/-/gestione-contributi-gara</w:t>
        </w:r>
      </w:hyperlink>
      <w:r>
        <w:rPr>
          <w:lang w:eastAsia="it-IT"/>
        </w:rPr>
        <w:t xml:space="preserve"> . </w:t>
      </w:r>
    </w:p>
    <w:p w:rsidR="009D1A27" w:rsidRDefault="009D1A27">
      <w:pPr>
        <w:jc w:val="both"/>
        <w:rPr>
          <w:lang w:eastAsia="it-IT"/>
        </w:rPr>
      </w:pPr>
    </w:p>
    <w:p w:rsidR="009D1A27" w:rsidRDefault="00FA52AF">
      <w:pPr>
        <w:jc w:val="both"/>
        <w:rPr>
          <w:b/>
          <w:lang w:eastAsia="it-IT"/>
        </w:rPr>
      </w:pPr>
      <w:r>
        <w:rPr>
          <w:b/>
          <w:lang w:eastAsia="it-IT"/>
        </w:rPr>
        <w:t>N.B. Il pagamento del contributo entro i termini di</w:t>
      </w:r>
      <w:r>
        <w:rPr>
          <w:b/>
          <w:lang w:eastAsia="it-IT"/>
        </w:rPr>
        <w:t xml:space="preserve"> scadenza della presentazione dell’offerta, è condizione di ammissibilità dell’offerta e la ricevuta, a dimostrazione del pagamento, va allegata alla documentazione di gara. </w:t>
      </w:r>
    </w:p>
    <w:p w:rsidR="009D1A27" w:rsidRDefault="009D1A27">
      <w:pPr>
        <w:jc w:val="both"/>
        <w:rPr>
          <w:color w:val="auto"/>
          <w:highlight w:val="yellow"/>
          <w:lang w:eastAsia="it-IT"/>
        </w:rPr>
      </w:pPr>
    </w:p>
    <w:p w:rsidR="009D1A27" w:rsidRDefault="00FA52AF">
      <w:pPr>
        <w:jc w:val="both"/>
        <w:rPr>
          <w:color w:val="auto"/>
          <w:lang w:eastAsia="it-IT"/>
        </w:rPr>
      </w:pPr>
      <w:r>
        <w:rPr>
          <w:color w:val="auto"/>
          <w:lang w:eastAsia="it-IT"/>
        </w:rPr>
        <w:t xml:space="preserve">In caso di assenza di detta ricevuta sarà attivata la procedura di soccorso </w:t>
      </w:r>
      <w:r>
        <w:rPr>
          <w:color w:val="auto"/>
          <w:lang w:eastAsia="it-IT"/>
        </w:rPr>
        <w:t>istruttorio. Sarà accettata solo un’attestazione di pagamento anteriore l’ora e la data di scadenza della presentazione dell’offerta. In caso di mancata dimostrazione, l’offerta è dichiarata inammissibile.</w:t>
      </w:r>
    </w:p>
    <w:p w:rsidR="009D1A27" w:rsidRDefault="009D1A27">
      <w:pPr>
        <w:widowControl w:val="0"/>
        <w:jc w:val="both"/>
        <w:rPr>
          <w:color w:val="auto"/>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REQUISITI DI CAPACITA’ ECONOMICO-FINANZIARIA E TE</w:t>
      </w:r>
      <w:r>
        <w:rPr>
          <w:rFonts w:ascii="Times New Roman" w:hAnsi="Times New Roman"/>
          <w:color w:val="FFFFFF"/>
          <w:sz w:val="24"/>
          <w:szCs w:val="24"/>
        </w:rPr>
        <w:t>CNICO-ORGANIZZATIVA</w:t>
      </w:r>
    </w:p>
    <w:p w:rsidR="009D1A27" w:rsidRDefault="00FA52AF">
      <w:pPr>
        <w:jc w:val="both"/>
        <w:rPr>
          <w:color w:val="auto"/>
        </w:rPr>
      </w:pPr>
      <w:r>
        <w:rPr>
          <w:color w:val="auto"/>
        </w:rPr>
        <w:t>I concorrenti, a</w:t>
      </w:r>
      <w:r>
        <w:rPr>
          <w:b/>
          <w:color w:val="auto"/>
        </w:rPr>
        <w:t xml:space="preserve"> pena di esclusione</w:t>
      </w:r>
      <w:r>
        <w:rPr>
          <w:color w:val="auto"/>
        </w:rPr>
        <w:t xml:space="preserve">, devono essere in possesso di attestazione, rilasciata da società organismo di attestazione (SOA) categoria OG10 </w:t>
      </w:r>
      <w:proofErr w:type="spellStart"/>
      <w:r>
        <w:rPr>
          <w:color w:val="auto"/>
        </w:rPr>
        <w:t>class</w:t>
      </w:r>
      <w:proofErr w:type="spellEnd"/>
      <w:r>
        <w:rPr>
          <w:color w:val="auto"/>
        </w:rPr>
        <w:t>. 1^, o superiore, regolarmente autorizzata, in corso di validità, che documenti l</w:t>
      </w:r>
      <w:r>
        <w:rPr>
          <w:color w:val="auto"/>
        </w:rPr>
        <w:t>a qualificazione in categoria e classifica adeguata ai lavori da assumere.</w:t>
      </w:r>
    </w:p>
    <w:p w:rsidR="009D1A27" w:rsidRDefault="009D1A27">
      <w:pPr>
        <w:jc w:val="center"/>
        <w:rPr>
          <w:color w:val="auto"/>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MODALITA’ DI PRESENTAZIONE E CRITERI DI AMMISSIBILITA’ OFFERTE</w:t>
      </w:r>
    </w:p>
    <w:p w:rsidR="009D1A27" w:rsidRDefault="009D1A27">
      <w:pPr>
        <w:jc w:val="both"/>
      </w:pPr>
    </w:p>
    <w:p w:rsidR="009D1A27" w:rsidRDefault="00FA52AF">
      <w:pPr>
        <w:jc w:val="both"/>
      </w:pPr>
      <w:r>
        <w:t>La gara, sarà presieduta dal Capo del VII settore Appalti, Opere Pubbliche e Forniture di Beni e Servizi (Centrale U</w:t>
      </w:r>
      <w:r>
        <w:t>nica di Committenza) e Contratti del Libero Consorzio Comunale di Siracusa o da suo sostituto e si svolgerà</w:t>
      </w:r>
      <w:r>
        <w:rPr>
          <w:b/>
          <w:bCs/>
        </w:rPr>
        <w:t xml:space="preserve"> nelle giornate e negli orari indicati al precedente punto 5 del presente documento; </w:t>
      </w:r>
    </w:p>
    <w:p w:rsidR="009D1A27" w:rsidRDefault="009D1A27">
      <w:pPr>
        <w:pStyle w:val="Nessunaspaziatura"/>
        <w:rPr>
          <w:rFonts w:ascii="Times New Roman" w:hAnsi="Times New Roman"/>
          <w:sz w:val="24"/>
          <w:szCs w:val="24"/>
        </w:rPr>
      </w:pPr>
    </w:p>
    <w:p w:rsidR="009D1A27" w:rsidRDefault="00FA52AF">
      <w:pPr>
        <w:pStyle w:val="Nessunaspaziatura"/>
        <w:rPr>
          <w:rFonts w:ascii="Times New Roman" w:hAnsi="Times New Roman"/>
          <w:b/>
          <w:sz w:val="24"/>
          <w:szCs w:val="24"/>
        </w:rPr>
      </w:pPr>
      <w:r>
        <w:rPr>
          <w:rFonts w:ascii="Times New Roman" w:hAnsi="Times New Roman"/>
          <w:b/>
          <w:sz w:val="24"/>
          <w:szCs w:val="24"/>
        </w:rPr>
        <w:t>CONTENUTO DEI PLICO VIRTUALE</w:t>
      </w:r>
    </w:p>
    <w:p w:rsidR="009D1A27" w:rsidRDefault="00FA52AF">
      <w:pPr>
        <w:pStyle w:val="Nessunaspaziatura"/>
        <w:rPr>
          <w:rFonts w:ascii="Times New Roman" w:hAnsi="Times New Roman"/>
          <w:sz w:val="24"/>
          <w:szCs w:val="24"/>
        </w:rPr>
      </w:pPr>
      <w:r>
        <w:rPr>
          <w:rFonts w:ascii="Times New Roman" w:hAnsi="Times New Roman"/>
          <w:sz w:val="24"/>
          <w:szCs w:val="24"/>
        </w:rPr>
        <w:t>L’offerta telematica è composta d</w:t>
      </w:r>
      <w:r>
        <w:rPr>
          <w:rFonts w:ascii="Times New Roman" w:hAnsi="Times New Roman"/>
          <w:sz w:val="24"/>
          <w:szCs w:val="24"/>
        </w:rPr>
        <w:t xml:space="preserve">a due plichi virtuali, denominati </w:t>
      </w:r>
    </w:p>
    <w:p w:rsidR="009D1A27" w:rsidRDefault="00FA52AF">
      <w:pPr>
        <w:pStyle w:val="Nessunaspaziatura"/>
        <w:numPr>
          <w:ilvl w:val="0"/>
          <w:numId w:val="8"/>
        </w:numPr>
        <w:rPr>
          <w:rFonts w:ascii="Times New Roman" w:hAnsi="Times New Roman"/>
          <w:sz w:val="24"/>
          <w:szCs w:val="24"/>
        </w:rPr>
      </w:pPr>
      <w:r>
        <w:rPr>
          <w:rFonts w:ascii="Times New Roman" w:hAnsi="Times New Roman"/>
          <w:bCs/>
          <w:sz w:val="24"/>
          <w:szCs w:val="24"/>
        </w:rPr>
        <w:t>BUSTA TELEMATICA A) contenente la “DOCUMENTAZIONE AMMINISTRATIVA</w:t>
      </w:r>
    </w:p>
    <w:p w:rsidR="009D1A27" w:rsidRDefault="00FA52AF">
      <w:pPr>
        <w:pStyle w:val="Nessunaspaziatura"/>
        <w:numPr>
          <w:ilvl w:val="0"/>
          <w:numId w:val="8"/>
        </w:numPr>
        <w:rPr>
          <w:rFonts w:ascii="Times New Roman" w:hAnsi="Times New Roman"/>
          <w:bCs/>
          <w:sz w:val="24"/>
          <w:szCs w:val="24"/>
        </w:rPr>
      </w:pPr>
      <w:r>
        <w:rPr>
          <w:rFonts w:ascii="Times New Roman" w:hAnsi="Times New Roman"/>
          <w:bCs/>
          <w:sz w:val="24"/>
          <w:szCs w:val="24"/>
          <w:u w:val="single"/>
        </w:rPr>
        <w:t>BUSTA TELEMATICA B) contenente “OFFERTA ECONOMICA</w:t>
      </w:r>
      <w:r>
        <w:rPr>
          <w:rFonts w:ascii="Times New Roman" w:hAnsi="Times New Roman"/>
          <w:bCs/>
          <w:sz w:val="24"/>
          <w:szCs w:val="24"/>
        </w:rPr>
        <w:t>”,</w:t>
      </w:r>
      <w:r>
        <w:rPr>
          <w:rFonts w:ascii="Times New Roman" w:hAnsi="Times New Roman"/>
          <w:sz w:val="24"/>
          <w:szCs w:val="24"/>
        </w:rPr>
        <w:t xml:space="preserve"> contenenti:</w:t>
      </w:r>
    </w:p>
    <w:p w:rsidR="009D1A27" w:rsidRDefault="009D1A27">
      <w:pPr>
        <w:pStyle w:val="Nessunaspaziatura"/>
        <w:rPr>
          <w:rFonts w:ascii="Times New Roman" w:hAnsi="Times New Roman"/>
          <w:b/>
          <w:bCs/>
          <w:sz w:val="24"/>
          <w:szCs w:val="24"/>
        </w:rPr>
      </w:pPr>
    </w:p>
    <w:p w:rsidR="009D1A27" w:rsidRDefault="00FA52AF">
      <w:pPr>
        <w:pStyle w:val="Titolo2"/>
        <w:rPr>
          <w:rFonts w:eastAsia="PalatinoLinotype-Bold"/>
        </w:rPr>
      </w:pPr>
      <w:r>
        <w:t xml:space="preserve"> 15.1 CONTENUTO</w:t>
      </w:r>
      <w:r>
        <w:rPr>
          <w:rFonts w:eastAsia="PalatinoLinotype-Bold"/>
        </w:rPr>
        <w:t xml:space="preserve"> DELLA BUSTA TELEMATICA A </w:t>
      </w:r>
    </w:p>
    <w:p w:rsidR="009D1A27" w:rsidRDefault="00FA52AF">
      <w:pPr>
        <w:numPr>
          <w:ilvl w:val="0"/>
          <w:numId w:val="13"/>
        </w:numPr>
        <w:rPr>
          <w:rStyle w:val="Titolodellibro"/>
          <w:b w:val="0"/>
        </w:rPr>
      </w:pPr>
      <w:r>
        <w:rPr>
          <w:rStyle w:val="Titolodellibro"/>
          <w:b w:val="0"/>
        </w:rPr>
        <w:t>allegato A - MODELLO DGUE</w:t>
      </w:r>
    </w:p>
    <w:p w:rsidR="009D1A27" w:rsidRDefault="00FA52AF">
      <w:pPr>
        <w:numPr>
          <w:ilvl w:val="0"/>
          <w:numId w:val="13"/>
        </w:numPr>
      </w:pPr>
      <w:r>
        <w:rPr>
          <w:rStyle w:val="Titolodellibro"/>
          <w:b w:val="0"/>
        </w:rPr>
        <w:t xml:space="preserve">AUTODICHIARAZIONE </w:t>
      </w:r>
      <w:r>
        <w:rPr>
          <w:rStyle w:val="Titolodellibro"/>
          <w:b w:val="0"/>
        </w:rPr>
        <w:t>Modello integrativo al DGUE</w:t>
      </w:r>
    </w:p>
    <w:p w:rsidR="009D1A27" w:rsidRDefault="00FA52AF">
      <w:pPr>
        <w:numPr>
          <w:ilvl w:val="0"/>
          <w:numId w:val="13"/>
        </w:numPr>
      </w:pPr>
      <w:r>
        <w:rPr>
          <w:rStyle w:val="Titolodellibro"/>
          <w:b w:val="0"/>
        </w:rPr>
        <w:t>AUTOCERTIFICAZIONE (se ne ricorre il caso) - altri soggetti operanti nell’impresa ovvero soggetti cessati</w:t>
      </w:r>
    </w:p>
    <w:p w:rsidR="009D1A27" w:rsidRDefault="00FA52AF">
      <w:pPr>
        <w:numPr>
          <w:ilvl w:val="0"/>
          <w:numId w:val="13"/>
        </w:numPr>
        <w:rPr>
          <w:rStyle w:val="Titolodellibro"/>
          <w:b w:val="0"/>
          <w:bCs w:val="0"/>
          <w:smallCaps w:val="0"/>
        </w:rPr>
      </w:pPr>
      <w:r>
        <w:rPr>
          <w:rStyle w:val="Titolodellibro"/>
          <w:b w:val="0"/>
        </w:rPr>
        <w:t>Allegato b – CONTRIBUTO</w:t>
      </w:r>
      <w:r>
        <w:rPr>
          <w:rStyle w:val="Titolodellibro"/>
          <w:b w:val="0"/>
          <w:sz w:val="28"/>
        </w:rPr>
        <w:t xml:space="preserve"> </w:t>
      </w:r>
      <w:proofErr w:type="spellStart"/>
      <w:r>
        <w:rPr>
          <w:rStyle w:val="Titolodellibro"/>
          <w:b w:val="0"/>
          <w:sz w:val="28"/>
        </w:rPr>
        <w:t>anac</w:t>
      </w:r>
      <w:proofErr w:type="spellEnd"/>
    </w:p>
    <w:p w:rsidR="009D1A27" w:rsidRDefault="00FA52AF">
      <w:pPr>
        <w:numPr>
          <w:ilvl w:val="0"/>
          <w:numId w:val="13"/>
        </w:numPr>
        <w:rPr>
          <w:rStyle w:val="Titolodellibro"/>
          <w:b w:val="0"/>
          <w:bCs w:val="0"/>
          <w:smallCaps w:val="0"/>
        </w:rPr>
      </w:pPr>
      <w:r>
        <w:rPr>
          <w:rStyle w:val="Titolodellibro"/>
          <w:b w:val="0"/>
        </w:rPr>
        <w:t xml:space="preserve">Allegato - Dichiarazione assunzione impegni art. 102 del </w:t>
      </w:r>
      <w:proofErr w:type="spellStart"/>
      <w:r>
        <w:rPr>
          <w:rStyle w:val="Titolodellibro"/>
          <w:b w:val="0"/>
        </w:rPr>
        <w:t>D.Lgs.</w:t>
      </w:r>
      <w:proofErr w:type="spellEnd"/>
      <w:r>
        <w:rPr>
          <w:rStyle w:val="Titolodellibro"/>
          <w:b w:val="0"/>
        </w:rPr>
        <w:t xml:space="preserve"> n. 36/2023</w:t>
      </w:r>
    </w:p>
    <w:p w:rsidR="009D1A27" w:rsidRDefault="00FA52AF">
      <w:pPr>
        <w:numPr>
          <w:ilvl w:val="0"/>
          <w:numId w:val="13"/>
        </w:numPr>
        <w:rPr>
          <w:rStyle w:val="Titolodellibro"/>
          <w:b w:val="0"/>
          <w:bCs w:val="0"/>
          <w:smallCaps w:val="0"/>
          <w:sz w:val="22"/>
          <w:szCs w:val="22"/>
        </w:rPr>
      </w:pPr>
      <w:r>
        <w:rPr>
          <w:rStyle w:val="Titolodellibro"/>
          <w:b w:val="0"/>
          <w:bCs w:val="0"/>
          <w:smallCaps w:val="0"/>
          <w:sz w:val="22"/>
          <w:szCs w:val="22"/>
        </w:rPr>
        <w:t xml:space="preserve">AUTODICHIARAZIONE </w:t>
      </w:r>
      <w:r>
        <w:rPr>
          <w:rStyle w:val="Titolodellibro"/>
          <w:b w:val="0"/>
          <w:bCs w:val="0"/>
          <w:smallCaps w:val="0"/>
          <w:sz w:val="22"/>
          <w:szCs w:val="22"/>
        </w:rPr>
        <w:t>DI ISCRIZIONE ALLA c.d. WHITE LIST NELLA PREFETTURA DI APPARTENENZA</w:t>
      </w:r>
    </w:p>
    <w:p w:rsidR="009D1A27" w:rsidRDefault="00FA52AF">
      <w:pPr>
        <w:numPr>
          <w:ilvl w:val="0"/>
          <w:numId w:val="13"/>
        </w:numPr>
        <w:rPr>
          <w:rStyle w:val="Titolodellibro"/>
          <w:b w:val="0"/>
          <w:bCs w:val="0"/>
          <w:smallCaps w:val="0"/>
        </w:rPr>
      </w:pPr>
      <w:r>
        <w:rPr>
          <w:rStyle w:val="Titolodellibro"/>
          <w:b w:val="0"/>
        </w:rPr>
        <w:t>eventuali altri documenti ritenuti necessari a completamento della documentazione amministrativa.</w:t>
      </w:r>
    </w:p>
    <w:p w:rsidR="009D1A27" w:rsidRDefault="009D1A27">
      <w:pPr>
        <w:rPr>
          <w:rStyle w:val="Titolodellibro"/>
        </w:rPr>
      </w:pPr>
    </w:p>
    <w:p w:rsidR="009D1A27" w:rsidRDefault="00FA52AF">
      <w:pPr>
        <w:rPr>
          <w:rStyle w:val="Titolodellibro"/>
        </w:rPr>
      </w:pPr>
      <w:r>
        <w:rPr>
          <w:rStyle w:val="Titolodellibro"/>
        </w:rPr>
        <w:t xml:space="preserve">allegato A - MODELLO DGUE, </w:t>
      </w:r>
    </w:p>
    <w:p w:rsidR="009D1A27" w:rsidRDefault="00FA52AF">
      <w:pPr>
        <w:keepLines/>
        <w:widowControl w:val="0"/>
        <w:jc w:val="both"/>
      </w:pPr>
      <w:r>
        <w:t xml:space="preserve">dichiarazione resa ai sensi degli artt. 46 e 47 del </w:t>
      </w:r>
      <w:proofErr w:type="spellStart"/>
      <w:r>
        <w:t>d.P.R.</w:t>
      </w:r>
      <w:proofErr w:type="spellEnd"/>
      <w:r>
        <w:t xml:space="preserve"> 28</w:t>
      </w:r>
      <w:r>
        <w:t xml:space="preserve"> dicembre 2000, n. 445 e ss.mm. ii. oppure, per i concorrenti non residenti in Italia, documentazione idonea equivalente secondo la legislazione dello Stato di appartenenza, con la quale il concorrente,</w:t>
      </w:r>
      <w:r>
        <w:rPr>
          <w:b/>
        </w:rPr>
        <w:t xml:space="preserve"> a pena di esclusione,</w:t>
      </w:r>
      <w:r>
        <w:t xml:space="preserve"> attesta: </w:t>
      </w:r>
    </w:p>
    <w:p w:rsidR="009D1A27" w:rsidRDefault="009D1A27">
      <w:pPr>
        <w:keepLines/>
        <w:widowControl w:val="0"/>
        <w:jc w:val="both"/>
      </w:pPr>
    </w:p>
    <w:p w:rsidR="009D1A27" w:rsidRDefault="00FA52AF">
      <w:pPr>
        <w:rPr>
          <w:b/>
          <w:u w:val="single"/>
        </w:rPr>
      </w:pPr>
      <w:r>
        <w:rPr>
          <w:b/>
          <w:u w:val="single"/>
        </w:rPr>
        <w:t xml:space="preserve">Requisiti di ordine </w:t>
      </w:r>
      <w:r>
        <w:rPr>
          <w:b/>
          <w:u w:val="single"/>
        </w:rPr>
        <w:t>generale:</w:t>
      </w:r>
    </w:p>
    <w:p w:rsidR="009D1A27" w:rsidRDefault="00FA52AF">
      <w:pPr>
        <w:pStyle w:val="NormaleWeb"/>
        <w:numPr>
          <w:ilvl w:val="0"/>
          <w:numId w:val="10"/>
        </w:numPr>
        <w:spacing w:beforeAutospacing="0" w:afterAutospacing="0"/>
        <w:ind w:left="426" w:hanging="426"/>
        <w:jc w:val="both"/>
        <w:rPr>
          <w:bCs/>
        </w:rPr>
      </w:pPr>
      <w:r>
        <w:rPr>
          <w:b/>
        </w:rPr>
        <w:t xml:space="preserve">di non </w:t>
      </w:r>
      <w:r>
        <w:rPr>
          <w:b/>
          <w:color w:val="000000"/>
        </w:rPr>
        <w:t>trovarsi</w:t>
      </w:r>
      <w:r>
        <w:rPr>
          <w:bCs/>
        </w:rPr>
        <w:t xml:space="preserve"> in alcuna delle condizioni che determinano l’esclusione dalla partecipazione a una procedura d’appalto o concessione, di cui all'art. 94</w:t>
      </w:r>
      <w:r>
        <w:t>, commi 1, 2, 4 e 5, del D.lgs. 36/2023</w:t>
      </w:r>
      <w:r>
        <w:rPr>
          <w:bCs/>
        </w:rPr>
        <w:t>;</w:t>
      </w:r>
    </w:p>
    <w:p w:rsidR="009D1A27" w:rsidRDefault="00FA52AF">
      <w:pPr>
        <w:widowControl w:val="0"/>
        <w:numPr>
          <w:ilvl w:val="0"/>
          <w:numId w:val="5"/>
        </w:numPr>
        <w:jc w:val="both"/>
        <w:rPr>
          <w:color w:val="auto"/>
        </w:rPr>
      </w:pPr>
      <w:r>
        <w:rPr>
          <w:rFonts w:eastAsia="Times New Roman"/>
          <w:b/>
          <w:lang w:eastAsia="it-IT"/>
        </w:rPr>
        <w:t>indica</w:t>
      </w:r>
      <w:r>
        <w:t xml:space="preserve"> </w:t>
      </w:r>
      <w:r>
        <w:rPr>
          <w:rFonts w:eastAsia="Times New Roman"/>
          <w:b/>
          <w:lang w:eastAsia="it-IT"/>
        </w:rPr>
        <w:t>le</w:t>
      </w:r>
      <w:r>
        <w:t xml:space="preserve"> lavorazioni appartenenti alla categoria </w:t>
      </w:r>
      <w:r>
        <w:rPr>
          <w:u w:val="single"/>
        </w:rPr>
        <w:t>pre</w:t>
      </w:r>
      <w:r>
        <w:rPr>
          <w:u w:val="single"/>
        </w:rPr>
        <w:t>valente</w:t>
      </w:r>
      <w:r>
        <w:t xml:space="preserve">, che, intende eventualmente subappaltare o </w:t>
      </w:r>
      <w:r>
        <w:rPr>
          <w:color w:val="auto"/>
        </w:rPr>
        <w:t>concedere a cottimo;</w:t>
      </w:r>
    </w:p>
    <w:p w:rsidR="009D1A27" w:rsidRDefault="00FA52AF">
      <w:pPr>
        <w:widowControl w:val="0"/>
        <w:numPr>
          <w:ilvl w:val="0"/>
          <w:numId w:val="5"/>
        </w:numPr>
        <w:jc w:val="both"/>
        <w:rPr>
          <w:color w:val="auto"/>
        </w:rPr>
      </w:pPr>
      <w:r>
        <w:rPr>
          <w:rFonts w:eastAsia="Times New Roman"/>
          <w:b/>
          <w:color w:val="auto"/>
          <w:lang w:eastAsia="it-IT"/>
        </w:rPr>
        <w:t>indica</w:t>
      </w:r>
      <w:r>
        <w:rPr>
          <w:color w:val="auto"/>
        </w:rPr>
        <w:t xml:space="preserve"> Il Contratto Collettivo Nazionale applicabile al personale dipendente dell’operatore economico (art. 11, co. 2 D. </w:t>
      </w:r>
      <w:proofErr w:type="spellStart"/>
      <w:r>
        <w:rPr>
          <w:color w:val="auto"/>
        </w:rPr>
        <w:t>Lgs</w:t>
      </w:r>
      <w:proofErr w:type="spellEnd"/>
      <w:r>
        <w:rPr>
          <w:color w:val="auto"/>
        </w:rPr>
        <w:t>. 36/2023)</w:t>
      </w:r>
    </w:p>
    <w:p w:rsidR="009D1A27" w:rsidRDefault="009D1A27">
      <w:pPr>
        <w:widowControl w:val="0"/>
        <w:jc w:val="both"/>
        <w:rPr>
          <w:strike/>
        </w:rPr>
      </w:pPr>
    </w:p>
    <w:p w:rsidR="009D1A27" w:rsidRDefault="00FA52AF">
      <w:pPr>
        <w:rPr>
          <w:rStyle w:val="Titolodellibro"/>
        </w:rPr>
      </w:pPr>
      <w:r>
        <w:t xml:space="preserve"> </w:t>
      </w:r>
      <w:r>
        <w:rPr>
          <w:rStyle w:val="Titolodellibro"/>
        </w:rPr>
        <w:t>Autodichiarazione – Modello integrativo al DGUE</w:t>
      </w:r>
    </w:p>
    <w:p w:rsidR="009D1A27" w:rsidRDefault="009D1A27">
      <w:pPr>
        <w:widowControl w:val="0"/>
        <w:jc w:val="both"/>
        <w:rPr>
          <w:rStyle w:val="Titolodellibro"/>
          <w:strike/>
        </w:rPr>
      </w:pPr>
    </w:p>
    <w:p w:rsidR="009D1A27" w:rsidRDefault="00FA52AF">
      <w:pPr>
        <w:widowControl w:val="0"/>
        <w:numPr>
          <w:ilvl w:val="0"/>
          <w:numId w:val="4"/>
        </w:numPr>
        <w:ind w:left="426" w:hanging="426"/>
        <w:jc w:val="both"/>
        <w:rPr>
          <w:color w:val="auto"/>
        </w:rPr>
      </w:pPr>
      <w:r>
        <w:rPr>
          <w:b/>
          <w:color w:val="auto"/>
          <w:u w:val="single"/>
        </w:rPr>
        <w:t>dichiarazione sostitutiva</w:t>
      </w:r>
      <w:r>
        <w:rPr>
          <w:color w:val="auto"/>
        </w:rPr>
        <w:t xml:space="preserve"> </w:t>
      </w:r>
      <w:r>
        <w:t xml:space="preserve">resa ai sensi degli artt. 46 e 47 del </w:t>
      </w:r>
      <w:proofErr w:type="spellStart"/>
      <w:r>
        <w:t>d.P.R.</w:t>
      </w:r>
      <w:proofErr w:type="spellEnd"/>
      <w:r>
        <w:t xml:space="preserve"> 28 dicembre 2000, n. 445 e ss.mm. ii. oppure, per i concorrenti non residenti in Italia, documentazione idonea equivalente secondo la legislazione dello Stato di appartenenza, con la </w:t>
      </w:r>
      <w:r>
        <w:t xml:space="preserve">quale il concorrente </w:t>
      </w:r>
    </w:p>
    <w:p w:rsidR="009D1A27" w:rsidRDefault="00FA52AF">
      <w:pPr>
        <w:widowControl w:val="0"/>
        <w:ind w:left="720"/>
        <w:jc w:val="both"/>
      </w:pPr>
      <w:r>
        <w:lastRenderedPageBreak/>
        <w:t xml:space="preserve">a) di avere direttamente o con delega a personale dipendente esaminato tutti gli elaborati progettuali, compreso il calcolo sommario della spesa o il computo metrico-estimativo, ove redatto; </w:t>
      </w:r>
    </w:p>
    <w:p w:rsidR="009D1A27" w:rsidRDefault="00FA52AF">
      <w:pPr>
        <w:widowControl w:val="0"/>
        <w:ind w:left="720"/>
        <w:jc w:val="both"/>
      </w:pPr>
      <w:r>
        <w:t>b) di essersi recato sul luogo di esecuzio</w:t>
      </w:r>
      <w:r>
        <w:t xml:space="preserve">ne della prestazione; </w:t>
      </w:r>
    </w:p>
    <w:p w:rsidR="009D1A27" w:rsidRDefault="00FA52AF">
      <w:pPr>
        <w:widowControl w:val="0"/>
        <w:ind w:left="720"/>
        <w:jc w:val="both"/>
      </w:pPr>
      <w:r>
        <w:t xml:space="preserve">c) di avere preso conoscenza delle condizioni locali e della viabilità di accesso ove necessario; </w:t>
      </w:r>
    </w:p>
    <w:p w:rsidR="009D1A27" w:rsidRDefault="00FA52AF">
      <w:pPr>
        <w:widowControl w:val="0"/>
        <w:ind w:left="720"/>
        <w:jc w:val="both"/>
      </w:pPr>
      <w:r>
        <w:t>d) di aver verificato le capacità e le disponibilità, compatibili con i tempi di esecuzione previsti, delle cave eventualmente necessa</w:t>
      </w:r>
      <w:r>
        <w:t>rie e delle discariche autorizzate, nonché di tutte le circostanze generali e particolari suscettibili di influire sulla determinazione dei prezzi, sulle condizioni contrattuali e sull’esecuzione della prestazione;</w:t>
      </w:r>
    </w:p>
    <w:p w:rsidR="009D1A27" w:rsidRDefault="00FA52AF">
      <w:pPr>
        <w:widowControl w:val="0"/>
        <w:ind w:left="720"/>
        <w:jc w:val="both"/>
      </w:pPr>
      <w:r>
        <w:t>e) di aver giudicato la prestazione reali</w:t>
      </w:r>
      <w:r>
        <w:t xml:space="preserve">zzabile, gli elaborati progettuali adeguati ed i prezzi nel loro complesso remunerativi e tali da consentire il ribasso offerto; </w:t>
      </w:r>
    </w:p>
    <w:p w:rsidR="009D1A27" w:rsidRDefault="00FA52AF">
      <w:pPr>
        <w:widowControl w:val="0"/>
        <w:ind w:left="720"/>
        <w:jc w:val="both"/>
      </w:pPr>
      <w:r>
        <w:t>f) di avere effettuato una verifica della disponibilità della mano d’opera necessaria per l’esecuzione dei lavori ovvero della</w:t>
      </w:r>
      <w:r>
        <w:t xml:space="preserve"> disponibilità di attrezzature adeguate all’entità e alla tipologia e categoria della prestazione in appalto.</w:t>
      </w:r>
    </w:p>
    <w:p w:rsidR="009D1A27" w:rsidRDefault="009D1A27">
      <w:pPr>
        <w:widowControl w:val="0"/>
        <w:jc w:val="both"/>
        <w:rPr>
          <w:color w:val="0070C0"/>
        </w:rPr>
      </w:pPr>
    </w:p>
    <w:p w:rsidR="009D1A27" w:rsidRDefault="009D1A27">
      <w:pPr>
        <w:widowControl w:val="0"/>
        <w:ind w:left="720"/>
        <w:jc w:val="both"/>
      </w:pPr>
    </w:p>
    <w:p w:rsidR="009D1A27" w:rsidRDefault="00FA52AF">
      <w:pPr>
        <w:widowControl w:val="0"/>
        <w:jc w:val="both"/>
        <w:rPr>
          <w:bCs/>
          <w:color w:val="auto"/>
        </w:rPr>
      </w:pPr>
      <w:r>
        <w:rPr>
          <w:bCs/>
          <w:color w:val="auto"/>
        </w:rPr>
        <w:t xml:space="preserve">Attesta di essere in possesso dell’attestazione di qualificazione rilasciata da società organismo di attestazione (SOA) regolarmente </w:t>
      </w:r>
      <w:r>
        <w:rPr>
          <w:bCs/>
          <w:color w:val="auto"/>
        </w:rPr>
        <w:t xml:space="preserve">autorizzata, in corso di validità, che documenti la qualificazione in categorie e classifiche adeguate, ai sensi dell’art. 100, comma 4, del D. </w:t>
      </w:r>
      <w:proofErr w:type="spellStart"/>
      <w:r>
        <w:rPr>
          <w:bCs/>
          <w:color w:val="auto"/>
        </w:rPr>
        <w:t>Lgs</w:t>
      </w:r>
      <w:proofErr w:type="spellEnd"/>
      <w:r>
        <w:rPr>
          <w:bCs/>
          <w:color w:val="auto"/>
        </w:rPr>
        <w:t>. 36/2023;</w:t>
      </w:r>
    </w:p>
    <w:p w:rsidR="009D1A27" w:rsidRDefault="009D1A27">
      <w:pPr>
        <w:widowControl w:val="0"/>
        <w:jc w:val="both"/>
        <w:rPr>
          <w:b/>
          <w:color w:val="auto"/>
          <w:u w:val="single"/>
          <w:lang w:eastAsia="it-IT"/>
        </w:rPr>
      </w:pPr>
    </w:p>
    <w:p w:rsidR="009D1A27" w:rsidRDefault="00FA52AF">
      <w:pPr>
        <w:widowControl w:val="0"/>
        <w:numPr>
          <w:ilvl w:val="0"/>
          <w:numId w:val="4"/>
        </w:numPr>
        <w:ind w:left="426" w:hanging="426"/>
        <w:jc w:val="both"/>
        <w:rPr>
          <w:color w:val="auto"/>
        </w:rPr>
      </w:pPr>
      <w:r>
        <w:rPr>
          <w:b/>
          <w:color w:val="auto"/>
          <w:u w:val="single"/>
          <w:lang w:eastAsia="it-IT"/>
        </w:rPr>
        <w:t>dichiarazione</w:t>
      </w:r>
      <w:r>
        <w:rPr>
          <w:color w:val="auto"/>
          <w:u w:val="single"/>
        </w:rPr>
        <w:t xml:space="preserve"> </w:t>
      </w:r>
      <w:r>
        <w:rPr>
          <w:b/>
          <w:color w:val="auto"/>
          <w:u w:val="single"/>
        </w:rPr>
        <w:t>sostitutiva</w:t>
      </w:r>
      <w:r>
        <w:rPr>
          <w:color w:val="auto"/>
        </w:rPr>
        <w:t xml:space="preserve"> resa ai sensi degli artt. 46 e 47 del </w:t>
      </w:r>
      <w:proofErr w:type="spellStart"/>
      <w:r>
        <w:rPr>
          <w:color w:val="auto"/>
        </w:rPr>
        <w:t>d.P.R.</w:t>
      </w:r>
      <w:proofErr w:type="spellEnd"/>
      <w:r>
        <w:rPr>
          <w:color w:val="auto"/>
        </w:rPr>
        <w:t xml:space="preserve"> 28 dicembre 2000, n. 445 e</w:t>
      </w:r>
      <w:r>
        <w:rPr>
          <w:color w:val="auto"/>
        </w:rPr>
        <w:t xml:space="preserve"> ss.mm. ii. con la quale il concorrente attesta di essere informato, ai sensi e per gli effetti del d.lgs.30 giugno 2003, n. 196, che i dati personali raccolti saranno trattati, anche con strumenti informatici, esclusivamente nell’ambito del procedimento p</w:t>
      </w:r>
      <w:r>
        <w:rPr>
          <w:color w:val="auto"/>
        </w:rPr>
        <w:t>er il quale la dichiarazione viene resa.</w:t>
      </w:r>
    </w:p>
    <w:p w:rsidR="009D1A27" w:rsidRDefault="00FA52AF">
      <w:pPr>
        <w:widowControl w:val="0"/>
        <w:numPr>
          <w:ilvl w:val="0"/>
          <w:numId w:val="4"/>
        </w:numPr>
        <w:ind w:left="426" w:hanging="426"/>
        <w:jc w:val="both"/>
        <w:rPr>
          <w:color w:val="auto"/>
        </w:rPr>
      </w:pPr>
      <w:r>
        <w:rPr>
          <w:b/>
          <w:color w:val="auto"/>
          <w:u w:val="single"/>
          <w:lang w:eastAsia="it-IT"/>
        </w:rPr>
        <w:t>dichiarazione</w:t>
      </w:r>
      <w:r>
        <w:rPr>
          <w:color w:val="auto"/>
        </w:rPr>
        <w:t xml:space="preserve"> resa ai sensi del </w:t>
      </w:r>
      <w:r>
        <w:rPr>
          <w:color w:val="auto"/>
          <w:u w:val="single"/>
        </w:rPr>
        <w:t>Protocollo di Legalità</w:t>
      </w:r>
      <w:r>
        <w:rPr>
          <w:color w:val="auto"/>
        </w:rPr>
        <w:t xml:space="preserve"> e della Circolare dell’Assessore Regionale Lavori Pubblici n. 593 del 31 gennaio 2006, </w:t>
      </w:r>
      <w:r>
        <w:rPr>
          <w:color w:val="auto"/>
          <w:lang w:eastAsia="it-IT"/>
        </w:rPr>
        <w:t>allegato alla documentazione di gara (art. 1, comma 17, della l. 6 novemb</w:t>
      </w:r>
      <w:r>
        <w:rPr>
          <w:color w:val="auto"/>
          <w:lang w:eastAsia="it-IT"/>
        </w:rPr>
        <w:t>re 2012, n. 190)</w:t>
      </w:r>
      <w:r>
        <w:rPr>
          <w:color w:val="auto"/>
        </w:rPr>
        <w:t>:</w:t>
      </w:r>
    </w:p>
    <w:p w:rsidR="009D1A27" w:rsidRDefault="00FA52AF">
      <w:pPr>
        <w:widowControl w:val="0"/>
        <w:jc w:val="both"/>
        <w:rPr>
          <w:color w:val="auto"/>
          <w:u w:val="single"/>
        </w:rPr>
      </w:pPr>
      <w:r>
        <w:rPr>
          <w:b/>
          <w:color w:val="auto"/>
        </w:rPr>
        <w:t xml:space="preserve"> </w:t>
      </w:r>
      <w:r>
        <w:rPr>
          <w:b/>
          <w:color w:val="auto"/>
        </w:rPr>
        <w:tab/>
      </w:r>
      <w:r>
        <w:rPr>
          <w:bCs/>
          <w:color w:val="auto"/>
          <w:u w:val="single"/>
        </w:rPr>
        <w:t xml:space="preserve">si </w:t>
      </w:r>
      <w:r>
        <w:rPr>
          <w:color w:val="auto"/>
          <w:u w:val="single"/>
        </w:rPr>
        <w:t>obbliga espressamente nel caso di aggiudicazione:</w:t>
      </w:r>
    </w:p>
    <w:p w:rsidR="009D1A27" w:rsidRDefault="00FA52AF">
      <w:pPr>
        <w:widowControl w:val="0"/>
        <w:numPr>
          <w:ilvl w:val="0"/>
          <w:numId w:val="1"/>
        </w:numPr>
        <w:ind w:left="851"/>
        <w:jc w:val="both"/>
        <w:rPr>
          <w:color w:val="auto"/>
        </w:rPr>
      </w:pPr>
      <w:r>
        <w:rPr>
          <w:color w:val="auto"/>
        </w:rPr>
        <w:t>a comunicare, tramite il RUP, quale titolare dell’Ufficio di direzione lavori, alla Stazione Appaltante e all’Osservatorio Regionale LL.PP. lo stato di avanzamento dei lavori, l’ogget</w:t>
      </w:r>
      <w:r>
        <w:rPr>
          <w:color w:val="auto"/>
        </w:rPr>
        <w:t xml:space="preserve">to, l’importo e la titolarità dei contratti di sub appalto e derivati, quali il nolo e le forniture, nonché le modalità di scelta dei contraenti e il numero e le qualifiche dei lavoratori da occupare. </w:t>
      </w:r>
    </w:p>
    <w:p w:rsidR="009D1A27" w:rsidRDefault="00FA52AF">
      <w:pPr>
        <w:widowControl w:val="0"/>
        <w:numPr>
          <w:ilvl w:val="0"/>
          <w:numId w:val="1"/>
        </w:numPr>
        <w:ind w:left="851"/>
        <w:jc w:val="both"/>
        <w:rPr>
          <w:color w:val="auto"/>
        </w:rPr>
      </w:pPr>
      <w:r>
        <w:rPr>
          <w:color w:val="auto"/>
        </w:rPr>
        <w:t>a segnalare alla Stazione appaltante qualsiasi tentati</w:t>
      </w:r>
      <w:r>
        <w:rPr>
          <w:color w:val="auto"/>
        </w:rPr>
        <w:t>vo di turbativa, irregolarità o distorsione nelle fasi di svolgimento della gara e/o durante l’esecuzione del contratto, da parte di ogni interessato o addetto o di chiunque possa influenzare le decisioni relative alla gara in oggetto;</w:t>
      </w:r>
    </w:p>
    <w:p w:rsidR="009D1A27" w:rsidRDefault="00FA52AF">
      <w:pPr>
        <w:widowControl w:val="0"/>
        <w:numPr>
          <w:ilvl w:val="0"/>
          <w:numId w:val="1"/>
        </w:numPr>
        <w:ind w:left="851"/>
        <w:jc w:val="both"/>
        <w:rPr>
          <w:color w:val="auto"/>
        </w:rPr>
      </w:pPr>
      <w:r>
        <w:rPr>
          <w:color w:val="auto"/>
        </w:rPr>
        <w:t>a collaborare con le</w:t>
      </w:r>
      <w:r>
        <w:rPr>
          <w:color w:val="auto"/>
        </w:rPr>
        <w:t xml:space="preserve"> Forze di Polizia, denunciando ogni tentativo di estorsione, intimidazione o condizionamento di natura criminale (richieste di tangenti, pressioni per indirizzare l’assunzione di personale o l’affidamento di subappalti a determinate imprese, danneggiamenti</w:t>
      </w:r>
      <w:r>
        <w:rPr>
          <w:color w:val="auto"/>
        </w:rPr>
        <w:t>/furti di beni personali o in cantiere etc.);</w:t>
      </w:r>
    </w:p>
    <w:p w:rsidR="009D1A27" w:rsidRDefault="00FA52AF">
      <w:pPr>
        <w:widowControl w:val="0"/>
        <w:numPr>
          <w:ilvl w:val="0"/>
          <w:numId w:val="1"/>
        </w:numPr>
        <w:ind w:left="851"/>
        <w:jc w:val="both"/>
        <w:rPr>
          <w:color w:val="auto"/>
        </w:rPr>
      </w:pPr>
      <w:r>
        <w:rPr>
          <w:color w:val="auto"/>
        </w:rPr>
        <w:t xml:space="preserve"> a inserire identiche clausole nei contratti di subappalto, nolo, cottimo etc. ed è consapevole che, in caso contrario, le eventuali autorizzazioni non saranno concesse;</w:t>
      </w:r>
    </w:p>
    <w:p w:rsidR="009D1A27" w:rsidRDefault="00FA52AF">
      <w:pPr>
        <w:widowControl w:val="0"/>
        <w:numPr>
          <w:ilvl w:val="2"/>
          <w:numId w:val="1"/>
        </w:numPr>
        <w:ind w:left="851"/>
        <w:jc w:val="both"/>
        <w:rPr>
          <w:color w:val="auto"/>
        </w:rPr>
      </w:pPr>
      <w:r>
        <w:rPr>
          <w:color w:val="auto"/>
          <w:u w:val="single"/>
        </w:rPr>
        <w:t xml:space="preserve">dichiara espressamente ed in modo solenne </w:t>
      </w:r>
      <w:r>
        <w:rPr>
          <w:color w:val="auto"/>
        </w:rPr>
        <w:tab/>
      </w:r>
    </w:p>
    <w:p w:rsidR="009D1A27" w:rsidRDefault="00FA52AF">
      <w:pPr>
        <w:widowControl w:val="0"/>
        <w:numPr>
          <w:ilvl w:val="0"/>
          <w:numId w:val="1"/>
        </w:numPr>
        <w:ind w:left="851"/>
        <w:jc w:val="both"/>
        <w:rPr>
          <w:color w:val="auto"/>
        </w:rPr>
      </w:pPr>
      <w:r>
        <w:rPr>
          <w:color w:val="auto"/>
        </w:rPr>
        <w:t xml:space="preserve"> di non trovarsi in rapporto di controllo o di collegamento con altri concorrenti che sia stato influente in ordine alla formulazione delle offerte e abbia determinato turbativa della gara e che non si è accordat</w:t>
      </w:r>
      <w:r>
        <w:rPr>
          <w:color w:val="auto"/>
        </w:rPr>
        <w:t>o e non si accorderà con altri partecipanti alla gara;</w:t>
      </w:r>
    </w:p>
    <w:p w:rsidR="009D1A27" w:rsidRDefault="00FA52AF">
      <w:pPr>
        <w:widowControl w:val="0"/>
        <w:numPr>
          <w:ilvl w:val="0"/>
          <w:numId w:val="1"/>
        </w:numPr>
        <w:ind w:left="851"/>
        <w:jc w:val="both"/>
        <w:rPr>
          <w:color w:val="auto"/>
        </w:rPr>
      </w:pPr>
      <w:r>
        <w:rPr>
          <w:color w:val="auto"/>
        </w:rPr>
        <w:t xml:space="preserve"> che non subappalterà lavorazioni di alcun tipo, ad altre imprese partecipanti alla gara – in forma singola od associata – ed è consapevole che, in caso contrario, tali subappalti non saranno autorizza</w:t>
      </w:r>
      <w:r>
        <w:rPr>
          <w:color w:val="auto"/>
        </w:rPr>
        <w:t>ti;</w:t>
      </w:r>
    </w:p>
    <w:p w:rsidR="009D1A27" w:rsidRDefault="00FA52AF">
      <w:pPr>
        <w:widowControl w:val="0"/>
        <w:numPr>
          <w:ilvl w:val="0"/>
          <w:numId w:val="1"/>
        </w:numPr>
        <w:tabs>
          <w:tab w:val="left" w:pos="1068"/>
        </w:tabs>
        <w:ind w:left="851"/>
        <w:jc w:val="both"/>
        <w:rPr>
          <w:color w:val="auto"/>
        </w:rPr>
      </w:pPr>
      <w:r>
        <w:rPr>
          <w:color w:val="auto"/>
        </w:rPr>
        <w:t xml:space="preserve">che non subappalterà lavorazioni di alcun tipo, ad altre imprese partecipanti alla gara – in forma singola od associata – ed è consapevole che, in caso contrario, tali subappalti non </w:t>
      </w:r>
      <w:r>
        <w:rPr>
          <w:color w:val="auto"/>
        </w:rPr>
        <w:lastRenderedPageBreak/>
        <w:t>saranno autorizzati;</w:t>
      </w:r>
    </w:p>
    <w:p w:rsidR="009D1A27" w:rsidRDefault="00FA52AF">
      <w:pPr>
        <w:widowControl w:val="0"/>
        <w:numPr>
          <w:ilvl w:val="0"/>
          <w:numId w:val="1"/>
        </w:numPr>
        <w:tabs>
          <w:tab w:val="left" w:pos="1068"/>
        </w:tabs>
        <w:ind w:left="851"/>
        <w:jc w:val="both"/>
        <w:rPr>
          <w:color w:val="auto"/>
        </w:rPr>
      </w:pPr>
      <w:r>
        <w:rPr>
          <w:color w:val="auto"/>
        </w:rPr>
        <w:t>che l’offerta è improntata a serietà, integrità,</w:t>
      </w:r>
      <w:r>
        <w:rPr>
          <w:color w:val="auto"/>
        </w:rPr>
        <w:t xml:space="preserve"> indipendenza e segretezza, e si impegna a conformare il proprio comportamento ai principi di lealtà, trasparenza e correttezza; e che non si è accordata e non si accorderà con altri partecipanti alla gara per limitare od eludere in alcun modo la concorren</w:t>
      </w:r>
      <w:r>
        <w:rPr>
          <w:color w:val="auto"/>
        </w:rPr>
        <w:t>za;</w:t>
      </w:r>
    </w:p>
    <w:p w:rsidR="009D1A27" w:rsidRDefault="00FA52AF">
      <w:pPr>
        <w:widowControl w:val="0"/>
        <w:numPr>
          <w:ilvl w:val="0"/>
          <w:numId w:val="1"/>
        </w:numPr>
        <w:tabs>
          <w:tab w:val="left" w:pos="1068"/>
        </w:tabs>
        <w:ind w:left="851"/>
        <w:jc w:val="both"/>
        <w:rPr>
          <w:color w:val="auto"/>
        </w:rPr>
      </w:pPr>
      <w:r>
        <w:rPr>
          <w:color w:val="auto"/>
        </w:rPr>
        <w:t>che nel caso di aggiudicazione si obbliga espressamente a segnalare alla Stazione appaltante qualsiasi tentativo di turbativa, irregolarità o distorsione nelle fasi di svolgimento della gara e/o durante l’esecuzione del contratto, da parte di ogni inte</w:t>
      </w:r>
      <w:r>
        <w:rPr>
          <w:color w:val="auto"/>
        </w:rPr>
        <w:t>ressato o addetto o di chiunque possa influenzare le decisioni relative alla gara in oggetto;</w:t>
      </w:r>
    </w:p>
    <w:p w:rsidR="009D1A27" w:rsidRDefault="00FA52AF">
      <w:pPr>
        <w:widowControl w:val="0"/>
        <w:numPr>
          <w:ilvl w:val="0"/>
          <w:numId w:val="1"/>
        </w:numPr>
        <w:tabs>
          <w:tab w:val="left" w:pos="1068"/>
        </w:tabs>
        <w:ind w:left="851"/>
        <w:jc w:val="both"/>
        <w:rPr>
          <w:color w:val="auto"/>
        </w:rPr>
      </w:pPr>
      <w:r>
        <w:rPr>
          <w:color w:val="auto"/>
        </w:rPr>
        <w:t>di obbligarsi a collaborare con le Forze di Polizia, denunciando ogni tentativo di estorsione, intimidazione o condizionamento di natura criminale (richieste di t</w:t>
      </w:r>
      <w:r>
        <w:rPr>
          <w:color w:val="auto"/>
        </w:rPr>
        <w:t>angenti, pressioni per indirizzare l’assunzione di personale o l’affidamento di subappalti a determinate imprese, danneggiamenti/furti di beni personali o in cantiere etc.);</w:t>
      </w:r>
    </w:p>
    <w:p w:rsidR="009D1A27" w:rsidRDefault="00FA52AF">
      <w:pPr>
        <w:widowControl w:val="0"/>
        <w:numPr>
          <w:ilvl w:val="0"/>
          <w:numId w:val="1"/>
        </w:numPr>
        <w:tabs>
          <w:tab w:val="left" w:pos="1068"/>
        </w:tabs>
        <w:ind w:left="851"/>
        <w:jc w:val="both"/>
        <w:rPr>
          <w:color w:val="auto"/>
        </w:rPr>
      </w:pPr>
      <w:r>
        <w:rPr>
          <w:color w:val="auto"/>
        </w:rPr>
        <w:t xml:space="preserve">di obbligarsi ancora espressamente a inserire identiche clausole nei contratti di </w:t>
      </w:r>
      <w:r>
        <w:rPr>
          <w:color w:val="auto"/>
        </w:rPr>
        <w:t>subappalto, nolo, cottimo etc. ed è consapevole che, in caso contrario, le eventuali autorizzazioni non saranno concesse;</w:t>
      </w:r>
    </w:p>
    <w:p w:rsidR="009D1A27" w:rsidRDefault="00FA52AF">
      <w:pPr>
        <w:widowControl w:val="0"/>
        <w:jc w:val="both"/>
        <w:rPr>
          <w:color w:val="auto"/>
        </w:rPr>
      </w:pPr>
      <w:r>
        <w:rPr>
          <w:color w:val="auto"/>
        </w:rPr>
        <w:tab/>
      </w:r>
      <w:r>
        <w:rPr>
          <w:color w:val="auto"/>
          <w:u w:val="single"/>
        </w:rPr>
        <w:t>dichiara altresì espressamente</w:t>
      </w:r>
      <w:r>
        <w:rPr>
          <w:color w:val="auto"/>
        </w:rPr>
        <w:t xml:space="preserve"> di essere consapevole che le superiori obbligazioni e dichiarazioni sono condizioni rilevanti per la p</w:t>
      </w:r>
      <w:r>
        <w:rPr>
          <w:color w:val="auto"/>
        </w:rPr>
        <w:t>artecipazione alla gara sicché, qualora la stazione appaltante accerti, nel corso del procedimento di gara, una situazione di collegamento sostanziale, attraverso indizi gravi, precisi e concordanti, l’impresa verrà esclusa</w:t>
      </w:r>
    </w:p>
    <w:p w:rsidR="009D1A27" w:rsidRDefault="009D1A27">
      <w:pPr>
        <w:widowControl w:val="0"/>
        <w:jc w:val="both"/>
        <w:rPr>
          <w:color w:val="auto"/>
        </w:rPr>
      </w:pPr>
    </w:p>
    <w:p w:rsidR="009D1A27" w:rsidRDefault="00FA52AF">
      <w:pPr>
        <w:widowControl w:val="0"/>
        <w:numPr>
          <w:ilvl w:val="0"/>
          <w:numId w:val="4"/>
        </w:numPr>
        <w:ind w:left="426" w:hanging="426"/>
        <w:jc w:val="both"/>
        <w:rPr>
          <w:b/>
          <w:color w:val="auto"/>
        </w:rPr>
      </w:pPr>
      <w:r>
        <w:rPr>
          <w:b/>
          <w:color w:val="auto"/>
          <w:u w:val="single"/>
          <w:lang w:eastAsia="it-IT"/>
        </w:rPr>
        <w:t>Revolving</w:t>
      </w:r>
      <w:r>
        <w:rPr>
          <w:b/>
          <w:color w:val="auto"/>
        </w:rPr>
        <w:t xml:space="preserve"> </w:t>
      </w:r>
      <w:proofErr w:type="spellStart"/>
      <w:r>
        <w:rPr>
          <w:b/>
          <w:color w:val="auto"/>
        </w:rPr>
        <w:t>doors</w:t>
      </w:r>
      <w:proofErr w:type="spellEnd"/>
    </w:p>
    <w:p w:rsidR="009D1A27" w:rsidRDefault="00FA52AF">
      <w:pPr>
        <w:widowControl w:val="0"/>
        <w:numPr>
          <w:ilvl w:val="0"/>
          <w:numId w:val="6"/>
        </w:numPr>
        <w:ind w:left="426" w:firstLine="0"/>
        <w:jc w:val="both"/>
        <w:rPr>
          <w:bCs/>
          <w:iCs/>
          <w:color w:val="auto"/>
          <w:lang w:eastAsia="it-IT"/>
        </w:rPr>
      </w:pPr>
      <w:r>
        <w:rPr>
          <w:color w:val="auto"/>
          <w:u w:val="single"/>
        </w:rPr>
        <w:t>dichiarazione</w:t>
      </w:r>
      <w:r>
        <w:rPr>
          <w:color w:val="auto"/>
        </w:rPr>
        <w:t xml:space="preserve">, ai </w:t>
      </w:r>
      <w:r>
        <w:rPr>
          <w:bCs/>
          <w:iCs/>
          <w:color w:val="auto"/>
          <w:lang w:eastAsia="it-IT"/>
        </w:rPr>
        <w:t xml:space="preserve">sensi e per gli effetti del comma 3, dell’art. 2 del D.P.R. n. 62/2013, con la quale l’impresa appaltatrice si obbliga ad osservare il </w:t>
      </w:r>
      <w:r>
        <w:rPr>
          <w:bCs/>
          <w:iCs/>
          <w:color w:val="auto"/>
          <w:u w:val="single"/>
          <w:lang w:eastAsia="it-IT"/>
        </w:rPr>
        <w:t>codice generale di comportamento dei dipendenti pubblici e il codice di comportamento dei dipendenti del Libero Cons</w:t>
      </w:r>
      <w:r>
        <w:rPr>
          <w:bCs/>
          <w:iCs/>
          <w:color w:val="auto"/>
          <w:u w:val="single"/>
          <w:lang w:eastAsia="it-IT"/>
        </w:rPr>
        <w:t>orzio Comunale di Siracusa</w:t>
      </w:r>
      <w:r>
        <w:rPr>
          <w:bCs/>
          <w:iCs/>
          <w:color w:val="auto"/>
          <w:lang w:eastAsia="it-IT"/>
        </w:rPr>
        <w:t>. Pertanto dovrà impegnarsi affinché gli obblighi di condotta in esso contenuti siano rispettati dai propri collaboratori a qualsiasi titolo, in relazione alle prestazioni dedotte nel presente contratto In caso di inosservanza del</w:t>
      </w:r>
      <w:r>
        <w:rPr>
          <w:bCs/>
          <w:iCs/>
          <w:color w:val="auto"/>
          <w:lang w:eastAsia="it-IT"/>
        </w:rPr>
        <w:t xml:space="preserve"> superiore obbligo il contratto si intenderà risolto di diritto. A tal fine l’impresa comunicherà, entro 10 giorni dalla stipulazione del contratto, i nominativi dei predetti collaboratori unitamente alla dichiarazione dei medesimi di accettare espressamen</w:t>
      </w:r>
      <w:r>
        <w:rPr>
          <w:bCs/>
          <w:iCs/>
          <w:color w:val="auto"/>
          <w:lang w:eastAsia="it-IT"/>
        </w:rPr>
        <w:t>te la presente clausola.</w:t>
      </w:r>
    </w:p>
    <w:p w:rsidR="009D1A27" w:rsidRDefault="009D1A27">
      <w:pPr>
        <w:widowControl w:val="0"/>
        <w:jc w:val="both"/>
        <w:rPr>
          <w:color w:val="auto"/>
        </w:rPr>
      </w:pPr>
    </w:p>
    <w:p w:rsidR="009D1A27" w:rsidRDefault="00FA52AF">
      <w:pPr>
        <w:rPr>
          <w:rStyle w:val="Titolodellibro"/>
        </w:rPr>
      </w:pPr>
      <w:r>
        <w:rPr>
          <w:rStyle w:val="Titolodellibro"/>
        </w:rPr>
        <w:t>DICHIARAZIONE - altri soggetti operanti nell’impresa ovvero soggetti cessati</w:t>
      </w:r>
    </w:p>
    <w:p w:rsidR="009D1A27" w:rsidRDefault="009D1A27">
      <w:pPr>
        <w:widowControl w:val="0"/>
        <w:jc w:val="both"/>
        <w:rPr>
          <w:color w:val="auto"/>
        </w:rPr>
      </w:pPr>
    </w:p>
    <w:p w:rsidR="009D1A27" w:rsidRDefault="00FA52AF">
      <w:pPr>
        <w:widowControl w:val="0"/>
        <w:jc w:val="both"/>
      </w:pPr>
      <w:r>
        <w:rPr>
          <w:color w:val="auto"/>
        </w:rPr>
        <w:t>Il concorrente deve dichiarare l’elenco e le generalità degli eventuali altri soggetti cessati nell’impresa, nell’anno antecedente la data della lettera</w:t>
      </w:r>
      <w:r>
        <w:rPr>
          <w:color w:val="auto"/>
        </w:rPr>
        <w:t xml:space="preserve"> di invito (</w:t>
      </w:r>
      <w:r>
        <w:t xml:space="preserve">con riferimento ai soggetti indicati all’art. 94 comma 3 del D. </w:t>
      </w:r>
      <w:proofErr w:type="spellStart"/>
      <w:r>
        <w:t>Lgs</w:t>
      </w:r>
      <w:proofErr w:type="spellEnd"/>
      <w:r>
        <w:t>. 36/2023), e le relative dichiarazioni del possesso in capo a tali soggetti dei requisiti di cui ai commi 1, 2, 4 e 5 del medesimo art. 94;</w:t>
      </w:r>
    </w:p>
    <w:p w:rsidR="009D1A27" w:rsidRDefault="009D1A27">
      <w:pPr>
        <w:widowControl w:val="0"/>
        <w:jc w:val="both"/>
      </w:pPr>
    </w:p>
    <w:p w:rsidR="009D1A27" w:rsidRDefault="00FA52AF">
      <w:pPr>
        <w:rPr>
          <w:rStyle w:val="Titolodellibro"/>
        </w:rPr>
      </w:pPr>
      <w:r>
        <w:rPr>
          <w:rStyle w:val="Titolodellibro"/>
        </w:rPr>
        <w:t xml:space="preserve">Allegato B - </w:t>
      </w:r>
      <w:r>
        <w:rPr>
          <w:rStyle w:val="Titolodellibro"/>
          <w:b w:val="0"/>
        </w:rPr>
        <w:t>CONTRIBUTO ANAC</w:t>
      </w:r>
    </w:p>
    <w:p w:rsidR="009D1A27" w:rsidRDefault="00FA52AF">
      <w:pPr>
        <w:jc w:val="both"/>
        <w:rPr>
          <w:color w:val="auto"/>
          <w:lang w:eastAsia="it-IT"/>
        </w:rPr>
      </w:pPr>
      <w:r>
        <w:rPr>
          <w:b/>
          <w:color w:val="auto"/>
          <w:u w:val="single"/>
        </w:rPr>
        <w:t>Contri</w:t>
      </w:r>
      <w:r>
        <w:rPr>
          <w:b/>
          <w:color w:val="auto"/>
          <w:u w:val="single"/>
        </w:rPr>
        <w:t>buto</w:t>
      </w:r>
      <w:r>
        <w:rPr>
          <w:b/>
          <w:color w:val="auto"/>
          <w:lang w:eastAsia="it-IT"/>
        </w:rPr>
        <w:t xml:space="preserve"> ANAC:</w:t>
      </w:r>
      <w:r>
        <w:rPr>
          <w:color w:val="auto"/>
          <w:lang w:eastAsia="it-IT"/>
        </w:rPr>
        <w:t xml:space="preserve"> immagine scannerizzata del bollettino di pagamento o modulo scaricato dal sito in caso di pagamento online. </w:t>
      </w:r>
    </w:p>
    <w:p w:rsidR="009D1A27" w:rsidRDefault="00FA52AF">
      <w:pPr>
        <w:jc w:val="both"/>
        <w:rPr>
          <w:color w:val="auto"/>
          <w:lang w:eastAsia="it-IT"/>
        </w:rPr>
      </w:pPr>
      <w:r>
        <w:rPr>
          <w:color w:val="auto"/>
          <w:lang w:eastAsia="it-IT"/>
        </w:rPr>
        <w:t>I concorrenti effettuano il pagamento del contributo previsto dalla legge in favore dell’Autorità Nazionale Anticorruzione per un importo pari a € 35,00 secondo le modalità di cui alla delibera ANAC n. 621 del 20.12.2022 Attuazione dell’articolo 1, commi 6</w:t>
      </w:r>
      <w:r>
        <w:rPr>
          <w:color w:val="auto"/>
          <w:lang w:eastAsia="it-IT"/>
        </w:rPr>
        <w:t xml:space="preserve">5 e 67, della legge 23 dicembre 2005, n. 266, per l’anno 2022 pubblicata al seguente link </w:t>
      </w:r>
      <w:hyperlink r:id="rId18">
        <w:r>
          <w:rPr>
            <w:rStyle w:val="Collegamentoipertestuale"/>
            <w:lang w:eastAsia="it-IT"/>
          </w:rPr>
          <w:t>https://www.anticorruzione.it/-/gestione-contributi-gara</w:t>
        </w:r>
      </w:hyperlink>
    </w:p>
    <w:p w:rsidR="009D1A27" w:rsidRDefault="009D1A27">
      <w:pPr>
        <w:rPr>
          <w:color w:val="auto"/>
          <w:highlight w:val="yellow"/>
          <w:lang w:eastAsia="it-IT"/>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CONTENUTO DELLA BUSTA “B – OFFER</w:t>
      </w:r>
      <w:r>
        <w:rPr>
          <w:rFonts w:ascii="Times New Roman" w:hAnsi="Times New Roman"/>
          <w:color w:val="FFFFFF"/>
          <w:sz w:val="24"/>
          <w:szCs w:val="24"/>
        </w:rPr>
        <w:t>TA ECONOMICA”</w:t>
      </w:r>
    </w:p>
    <w:p w:rsidR="009D1A27" w:rsidRDefault="00FA52AF">
      <w:pPr>
        <w:widowControl w:val="0"/>
        <w:jc w:val="both"/>
        <w:rPr>
          <w:color w:val="auto"/>
        </w:rPr>
      </w:pPr>
      <w:r>
        <w:rPr>
          <w:color w:val="auto"/>
        </w:rPr>
        <w:t>Nella busta virtuale “B – Offerta economica”, la seguente documentazione su modello automatico predisposto dalla piattaforma:</w:t>
      </w:r>
    </w:p>
    <w:p w:rsidR="009D1A27" w:rsidRDefault="00FA52AF">
      <w:pPr>
        <w:widowControl w:val="0"/>
        <w:numPr>
          <w:ilvl w:val="0"/>
          <w:numId w:val="2"/>
        </w:numPr>
        <w:spacing w:after="120"/>
        <w:ind w:left="567" w:hanging="283"/>
        <w:jc w:val="both"/>
        <w:rPr>
          <w:b/>
          <w:color w:val="auto"/>
        </w:rPr>
      </w:pPr>
      <w:r>
        <w:rPr>
          <w:b/>
          <w:color w:val="auto"/>
        </w:rPr>
        <w:t>a pena di esclusione</w:t>
      </w:r>
      <w:r>
        <w:rPr>
          <w:color w:val="auto"/>
          <w:u w:val="single"/>
        </w:rPr>
        <w:t xml:space="preserve"> dichiarazione sottoscritta digitalmente dal legale rappresentante</w:t>
      </w:r>
      <w:r>
        <w:rPr>
          <w:color w:val="auto"/>
        </w:rPr>
        <w:t xml:space="preserve"> o da un suo procuratore, cont</w:t>
      </w:r>
      <w:r>
        <w:rPr>
          <w:color w:val="auto"/>
        </w:rPr>
        <w:t xml:space="preserve">enente l’indicazione del ribasso percentuale, espresso in cifre e in lettere, </w:t>
      </w:r>
      <w:r>
        <w:rPr>
          <w:b/>
          <w:color w:val="auto"/>
        </w:rPr>
        <w:t xml:space="preserve">rispetto all’elenco prezzi posto a base di gara. </w:t>
      </w:r>
    </w:p>
    <w:p w:rsidR="009D1A27" w:rsidRDefault="00FA52AF">
      <w:pPr>
        <w:widowControl w:val="0"/>
        <w:rPr>
          <w:b/>
        </w:rPr>
      </w:pPr>
      <w:r>
        <w:rPr>
          <w:b/>
        </w:rPr>
        <w:lastRenderedPageBreak/>
        <w:t>N.B.</w:t>
      </w:r>
    </w:p>
    <w:p w:rsidR="009D1A27" w:rsidRDefault="00FA52AF">
      <w:pPr>
        <w:widowControl w:val="0"/>
        <w:jc w:val="both"/>
        <w:rPr>
          <w:rFonts w:eastAsia="PalatinoLinotype-Bold"/>
          <w:b/>
          <w:bCs/>
        </w:rPr>
      </w:pPr>
      <w:r>
        <w:t>SI RACCOMANDA DI NON INSERIRE IMPORTI ESPRESSI IN EURO CHE CAUSEREBBERO IL BLOCCO DELLA PIATTAFORMA IN QUANTO LA FORMULA MA</w:t>
      </w:r>
      <w:r>
        <w:t>TEMATICA APPLICATA NON GESTISCE NUMERI SUPERIORI A 100</w:t>
      </w:r>
      <w:r>
        <w:rPr>
          <w:rFonts w:eastAsia="PalatinoLinotype-Bold"/>
          <w:b/>
          <w:bCs/>
        </w:rPr>
        <w:t>.</w:t>
      </w:r>
    </w:p>
    <w:tbl>
      <w:tblPr>
        <w:tblW w:w="9778" w:type="dxa"/>
        <w:tblLayout w:type="fixed"/>
        <w:tblLook w:val="04A0" w:firstRow="1" w:lastRow="0" w:firstColumn="1" w:lastColumn="0" w:noHBand="0" w:noVBand="1"/>
      </w:tblPr>
      <w:tblGrid>
        <w:gridCol w:w="8614"/>
        <w:gridCol w:w="1164"/>
      </w:tblGrid>
      <w:tr w:rsidR="009D1A27">
        <w:tc>
          <w:tcPr>
            <w:tcW w:w="8613" w:type="dxa"/>
            <w:tcBorders>
              <w:top w:val="single" w:sz="4" w:space="0" w:color="000000"/>
              <w:left w:val="single" w:sz="4" w:space="0" w:color="000000"/>
              <w:bottom w:val="single" w:sz="4" w:space="0" w:color="000000"/>
              <w:right w:val="single" w:sz="4" w:space="0" w:color="000000"/>
            </w:tcBorders>
          </w:tcPr>
          <w:p w:rsidR="009D1A27" w:rsidRDefault="00FA52AF">
            <w:pPr>
              <w:widowControl w:val="0"/>
              <w:jc w:val="center"/>
              <w:rPr>
                <w:rFonts w:eastAsia="PalatinoLinotype-Bold"/>
                <w:b/>
                <w:bCs/>
              </w:rPr>
            </w:pPr>
            <w:r>
              <w:t>offerta economica ESPRESSA COME RIBASSO PERCENTUALE (%).</w:t>
            </w:r>
          </w:p>
        </w:tc>
        <w:tc>
          <w:tcPr>
            <w:tcW w:w="1164" w:type="dxa"/>
            <w:vMerge w:val="restart"/>
            <w:tcBorders>
              <w:top w:val="single" w:sz="4" w:space="0" w:color="000000"/>
              <w:left w:val="single" w:sz="4" w:space="0" w:color="000000"/>
              <w:bottom w:val="single" w:sz="4" w:space="0" w:color="000000"/>
              <w:right w:val="single" w:sz="4" w:space="0" w:color="000000"/>
            </w:tcBorders>
            <w:vAlign w:val="center"/>
          </w:tcPr>
          <w:p w:rsidR="009D1A27" w:rsidRDefault="00FA52AF">
            <w:pPr>
              <w:widowControl w:val="0"/>
              <w:jc w:val="center"/>
              <w:rPr>
                <w:rFonts w:eastAsia="PalatinoLinotype-Bold"/>
                <w:b/>
                <w:bCs/>
              </w:rPr>
            </w:pPr>
            <w:r>
              <w:rPr>
                <w:rFonts w:eastAsia="PalatinoLinotype-Bold"/>
                <w:b/>
                <w:bCs/>
              </w:rPr>
              <w:t>SI</w:t>
            </w:r>
          </w:p>
        </w:tc>
      </w:tr>
      <w:tr w:rsidR="009D1A27">
        <w:tc>
          <w:tcPr>
            <w:tcW w:w="8613" w:type="dxa"/>
            <w:tcBorders>
              <w:top w:val="single" w:sz="4" w:space="0" w:color="000000"/>
              <w:left w:val="single" w:sz="4" w:space="0" w:color="000000"/>
              <w:bottom w:val="single" w:sz="4" w:space="0" w:color="000000"/>
              <w:right w:val="single" w:sz="4" w:space="0" w:color="000000"/>
            </w:tcBorders>
          </w:tcPr>
          <w:p w:rsidR="009D1A27" w:rsidRDefault="00FA52AF">
            <w:pPr>
              <w:widowControl w:val="0"/>
              <w:jc w:val="center"/>
              <w:rPr>
                <w:rFonts w:eastAsia="PalatinoLinotype-Bold"/>
                <w:b/>
                <w:bCs/>
              </w:rPr>
            </w:pPr>
            <w:r>
              <w:rPr>
                <w:rFonts w:eastAsia="PalatinoLinotype-Bold"/>
                <w:b/>
                <w:bCs/>
              </w:rPr>
              <w:t>1,234</w:t>
            </w:r>
          </w:p>
        </w:tc>
        <w:tc>
          <w:tcPr>
            <w:tcW w:w="1164" w:type="dxa"/>
            <w:vMerge/>
            <w:tcBorders>
              <w:top w:val="single" w:sz="4" w:space="0" w:color="000000"/>
              <w:left w:val="single" w:sz="4" w:space="0" w:color="000000"/>
              <w:bottom w:val="single" w:sz="4" w:space="0" w:color="000000"/>
              <w:right w:val="single" w:sz="4" w:space="0" w:color="000000"/>
            </w:tcBorders>
          </w:tcPr>
          <w:p w:rsidR="009D1A27" w:rsidRDefault="009D1A27">
            <w:pPr>
              <w:widowControl w:val="0"/>
              <w:jc w:val="center"/>
              <w:rPr>
                <w:rFonts w:eastAsia="PalatinoLinotype-Bold"/>
                <w:b/>
                <w:bCs/>
              </w:rPr>
            </w:pPr>
          </w:p>
        </w:tc>
      </w:tr>
    </w:tbl>
    <w:p w:rsidR="009D1A27" w:rsidRDefault="00FA52AF">
      <w:pPr>
        <w:widowControl w:val="0"/>
        <w:numPr>
          <w:ilvl w:val="0"/>
          <w:numId w:val="2"/>
        </w:numPr>
        <w:spacing w:after="120"/>
        <w:ind w:left="567" w:hanging="283"/>
        <w:jc w:val="both"/>
        <w:rPr>
          <w:b/>
          <w:color w:val="auto"/>
        </w:rPr>
      </w:pPr>
      <w:r>
        <w:rPr>
          <w:b/>
          <w:color w:val="auto"/>
        </w:rPr>
        <w:t>indicazione dei costi per la manodopera e gli oneri interni aziendali *</w:t>
      </w:r>
    </w:p>
    <w:p w:rsidR="009D1A27" w:rsidRDefault="00FA52AF">
      <w:pPr>
        <w:widowControl w:val="0"/>
        <w:spacing w:after="120"/>
        <w:ind w:left="284"/>
        <w:jc w:val="both"/>
        <w:rPr>
          <w:b/>
          <w:color w:val="auto"/>
        </w:rPr>
      </w:pPr>
      <w:r>
        <w:rPr>
          <w:b/>
          <w:color w:val="auto"/>
        </w:rPr>
        <w:t xml:space="preserve">* N.B. </w:t>
      </w:r>
      <w:r>
        <w:rPr>
          <w:bCs/>
          <w:lang w:eastAsia="it-IT"/>
        </w:rPr>
        <w:t>i costi della manodopera,</w:t>
      </w:r>
      <w:r>
        <w:rPr>
          <w:bCs/>
        </w:rPr>
        <w:t xml:space="preserve"> così come gli oneri interni aziendali possono non essere indicati nell’offerta, saranno calcolati di volta in volta per ciascun contratto esecutivo/ordine di esecuzione/ordine di servizio. </w:t>
      </w: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lang w:eastAsia="it-IT"/>
        </w:rPr>
      </w:pPr>
      <w:r>
        <w:rPr>
          <w:rFonts w:ascii="Times New Roman" w:hAnsi="Times New Roman"/>
          <w:color w:val="FFFFFF"/>
          <w:sz w:val="24"/>
          <w:szCs w:val="24"/>
          <w:lang w:eastAsia="it-IT"/>
        </w:rPr>
        <w:t>CRITERIO DI AGGIUDICAZIONE</w:t>
      </w:r>
    </w:p>
    <w:p w:rsidR="009D1A27" w:rsidRDefault="00FA52AF">
      <w:pPr>
        <w:numPr>
          <w:ilvl w:val="0"/>
          <w:numId w:val="11"/>
        </w:numPr>
        <w:shd w:val="clear" w:color="auto" w:fill="FFFFFF"/>
        <w:ind w:left="284" w:hanging="284"/>
        <w:jc w:val="both"/>
        <w:rPr>
          <w:lang w:eastAsia="it-IT"/>
        </w:rPr>
      </w:pPr>
      <w:r>
        <w:rPr>
          <w:rFonts w:eastAsia="Times New Roman"/>
          <w:lang w:eastAsia="it-IT"/>
        </w:rPr>
        <w:t xml:space="preserve">Trattandosi di contratto di appalto di lavori di importo inferiore alle soglie di rilevanza europea che non presenta un interesse transfrontaliero certo, il criterio di aggiudicazione, ai sensi dell’articolo 50 comma 4 del </w:t>
      </w:r>
      <w:proofErr w:type="spellStart"/>
      <w:r>
        <w:rPr>
          <w:rFonts w:eastAsia="Times New Roman"/>
          <w:lang w:eastAsia="it-IT"/>
        </w:rPr>
        <w:t>D.Lgs</w:t>
      </w:r>
      <w:proofErr w:type="spellEnd"/>
      <w:r>
        <w:rPr>
          <w:rFonts w:eastAsia="Times New Roman"/>
          <w:lang w:eastAsia="it-IT"/>
        </w:rPr>
        <w:t xml:space="preserve"> 36/2023 è il prezzo più bas</w:t>
      </w:r>
      <w:r>
        <w:rPr>
          <w:rFonts w:eastAsia="Times New Roman"/>
          <w:lang w:eastAsia="it-IT"/>
        </w:rPr>
        <w:t xml:space="preserve">so </w:t>
      </w:r>
      <w:r>
        <w:t>determinato mediante offerta espressa in cifra percentuale di ribasso sull’importo a base d’asta;</w:t>
      </w:r>
    </w:p>
    <w:p w:rsidR="009D1A27" w:rsidRDefault="00FA52AF">
      <w:pPr>
        <w:numPr>
          <w:ilvl w:val="0"/>
          <w:numId w:val="11"/>
        </w:numPr>
        <w:shd w:val="clear" w:color="auto" w:fill="FFFFFF"/>
        <w:ind w:left="284" w:hanging="284"/>
        <w:jc w:val="both"/>
        <w:rPr>
          <w:lang w:eastAsia="it-IT"/>
        </w:rPr>
      </w:pPr>
      <w:r>
        <w:t xml:space="preserve">Non si accetteranno offerte alla pari o in aumento; </w:t>
      </w:r>
    </w:p>
    <w:p w:rsidR="009D1A27" w:rsidRDefault="00FA52AF">
      <w:pPr>
        <w:widowControl w:val="0"/>
        <w:numPr>
          <w:ilvl w:val="0"/>
          <w:numId w:val="3"/>
        </w:numPr>
        <w:ind w:left="284" w:hanging="284"/>
        <w:jc w:val="both"/>
        <w:rPr>
          <w:color w:val="auto"/>
        </w:rPr>
      </w:pPr>
      <w:r>
        <w:rPr>
          <w:bCs/>
          <w:color w:val="auto"/>
        </w:rPr>
        <w:t>S</w:t>
      </w:r>
      <w:r>
        <w:rPr>
          <w:color w:val="auto"/>
        </w:rPr>
        <w:t>i procederà all'aggiudicazione anche in presenza di una sola offerta sempreché sia ritenuta congrua;</w:t>
      </w:r>
    </w:p>
    <w:p w:rsidR="009D1A27" w:rsidRDefault="009D1A27">
      <w:pPr>
        <w:widowControl w:val="0"/>
        <w:shd w:val="clear" w:color="auto" w:fill="FFFFFF"/>
        <w:jc w:val="both"/>
        <w:rPr>
          <w:b/>
          <w:sz w:val="16"/>
          <w:szCs w:val="16"/>
          <w:lang w:eastAsia="it-IT"/>
        </w:rPr>
      </w:pP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ULTERIORI DISPOSIZIONI</w:t>
      </w:r>
    </w:p>
    <w:p w:rsidR="009D1A27" w:rsidRDefault="00FA52AF">
      <w:pPr>
        <w:widowControl w:val="0"/>
        <w:numPr>
          <w:ilvl w:val="0"/>
          <w:numId w:val="7"/>
        </w:numPr>
        <w:jc w:val="both"/>
        <w:rPr>
          <w:color w:val="auto"/>
        </w:rPr>
      </w:pPr>
      <w:r>
        <w:rPr>
          <w:color w:val="auto"/>
        </w:rPr>
        <w:t>E’ facoltà della stazione appaltante di non procedere all’aggiudicazione della gara qualora nessuna offerta risulti conveniente o idonea in relazione all’oggetto del contratto o, se aggiudicata, di non stipulare il contratto d’appal</w:t>
      </w:r>
      <w:r>
        <w:rPr>
          <w:color w:val="auto"/>
        </w:rPr>
        <w:t>to;</w:t>
      </w:r>
    </w:p>
    <w:p w:rsidR="009D1A27" w:rsidRDefault="00FA52AF">
      <w:pPr>
        <w:widowControl w:val="0"/>
        <w:numPr>
          <w:ilvl w:val="0"/>
          <w:numId w:val="7"/>
        </w:numPr>
        <w:jc w:val="both"/>
        <w:rPr>
          <w:color w:val="auto"/>
        </w:rPr>
      </w:pPr>
      <w:r>
        <w:rPr>
          <w:color w:val="auto"/>
        </w:rPr>
        <w:t>L’offerta vincolerà il concorrente per 180 giorni dalla scadenza del termine indicato per la presentazione dell’offerta, salvo proroghe richieste dalla stazione appaltante;</w:t>
      </w:r>
    </w:p>
    <w:p w:rsidR="009D1A27" w:rsidRDefault="00FA52AF">
      <w:pPr>
        <w:widowControl w:val="0"/>
        <w:numPr>
          <w:ilvl w:val="0"/>
          <w:numId w:val="7"/>
        </w:numPr>
        <w:jc w:val="both"/>
        <w:rPr>
          <w:color w:val="auto"/>
        </w:rPr>
      </w:pPr>
      <w:r>
        <w:rPr>
          <w:color w:val="auto"/>
        </w:rPr>
        <w:t xml:space="preserve">La stipulazione del contratto è, comunque, subordinata al positivo esito delle </w:t>
      </w:r>
      <w:r>
        <w:rPr>
          <w:color w:val="auto"/>
        </w:rPr>
        <w:t>procedure previste dalla normativa vigente in materia di lotta alla mafia e al controllo del possesso dei requisiti prescritti;</w:t>
      </w:r>
    </w:p>
    <w:p w:rsidR="009D1A27" w:rsidRDefault="00FA52AF">
      <w:pPr>
        <w:pStyle w:val="Titolo1"/>
        <w:numPr>
          <w:ilvl w:val="0"/>
          <w:numId w:val="17"/>
        </w:numPr>
        <w:shd w:val="clear" w:color="auto" w:fill="00B0F0"/>
        <w:spacing w:before="120" w:after="0"/>
        <w:ind w:left="0" w:firstLine="0"/>
        <w:jc w:val="center"/>
        <w:rPr>
          <w:rFonts w:ascii="Times New Roman" w:hAnsi="Times New Roman"/>
          <w:color w:val="FFFFFF"/>
          <w:sz w:val="24"/>
          <w:szCs w:val="24"/>
        </w:rPr>
      </w:pPr>
      <w:r>
        <w:rPr>
          <w:rFonts w:ascii="Times New Roman" w:hAnsi="Times New Roman"/>
          <w:color w:val="FFFFFF"/>
          <w:sz w:val="24"/>
          <w:szCs w:val="24"/>
        </w:rPr>
        <w:t>ALTRE INFORMAZIONI</w:t>
      </w:r>
    </w:p>
    <w:p w:rsidR="009D1A27" w:rsidRDefault="00FA52AF">
      <w:pPr>
        <w:widowControl w:val="0"/>
        <w:numPr>
          <w:ilvl w:val="0"/>
          <w:numId w:val="6"/>
        </w:numPr>
        <w:jc w:val="both"/>
        <w:rPr>
          <w:color w:val="auto"/>
        </w:rPr>
      </w:pPr>
      <w:r>
        <w:rPr>
          <w:color w:val="auto"/>
        </w:rPr>
        <w:t>Qualora il soggetto deputato all’espletamento della gara accerti, sulla base di univoci elementi, che vi sono</w:t>
      </w:r>
      <w:r>
        <w:rPr>
          <w:color w:val="auto"/>
        </w:rPr>
        <w:t xml:space="preserve"> offerte che non sono state formulate autonomamente, ovvero che sono imputabili ad un unico centro decisionale, procederà ad escludere i concorrenti che le hanno presentate;</w:t>
      </w:r>
    </w:p>
    <w:p w:rsidR="009D1A27" w:rsidRDefault="00FA52AF">
      <w:pPr>
        <w:widowControl w:val="0"/>
        <w:numPr>
          <w:ilvl w:val="0"/>
          <w:numId w:val="6"/>
        </w:numPr>
        <w:jc w:val="both"/>
        <w:rPr>
          <w:color w:val="auto"/>
        </w:rPr>
      </w:pPr>
      <w:r>
        <w:rPr>
          <w:color w:val="auto"/>
        </w:rPr>
        <w:t xml:space="preserve">Il soggetto deputato all’espletamento della gara, sulla base della documentazione </w:t>
      </w:r>
      <w:r>
        <w:rPr>
          <w:color w:val="auto"/>
        </w:rPr>
        <w:t>contenuta nella busta “A - Documentazione amministrativa”, procede:</w:t>
      </w:r>
    </w:p>
    <w:p w:rsidR="009D1A27" w:rsidRDefault="00FA52AF">
      <w:pPr>
        <w:widowControl w:val="0"/>
        <w:ind w:left="851"/>
        <w:jc w:val="both"/>
        <w:rPr>
          <w:color w:val="auto"/>
        </w:rPr>
      </w:pPr>
      <w:r>
        <w:rPr>
          <w:color w:val="auto"/>
        </w:rPr>
        <w:t>a) a verificare la correttezza e la completezza della documentazione e delle dichiarazioni presentate e, in caso negativo, ad escludere dalla gara i concorrenti cui esse si riferiscono;</w:t>
      </w:r>
    </w:p>
    <w:p w:rsidR="009D1A27" w:rsidRDefault="00FA52AF">
      <w:pPr>
        <w:widowControl w:val="0"/>
        <w:ind w:left="851"/>
        <w:jc w:val="both"/>
        <w:rPr>
          <w:color w:val="auto"/>
        </w:rPr>
      </w:pPr>
      <w:r>
        <w:rPr>
          <w:color w:val="auto"/>
        </w:rPr>
        <w:t>b)</w:t>
      </w:r>
      <w:r>
        <w:rPr>
          <w:color w:val="auto"/>
        </w:rPr>
        <w:t xml:space="preserve"> a verificare che i consorziati per conto dei quali i consorzi concorrono, non abbiano presentato offerta in qualsiasi altra forma e, in caso positivo, ad escludere dalla gara il consorzio ed il consorziato;</w:t>
      </w:r>
    </w:p>
    <w:p w:rsidR="009D1A27" w:rsidRDefault="00FA52AF">
      <w:pPr>
        <w:widowControl w:val="0"/>
        <w:ind w:left="851"/>
        <w:jc w:val="both"/>
        <w:rPr>
          <w:color w:val="auto"/>
        </w:rPr>
      </w:pPr>
      <w:r>
        <w:rPr>
          <w:color w:val="auto"/>
        </w:rPr>
        <w:t>c) a verificare che nessuno dei concorrenti part</w:t>
      </w:r>
      <w:r>
        <w:rPr>
          <w:color w:val="auto"/>
        </w:rPr>
        <w:t xml:space="preserve">ecipi in più di un raggruppamento temporaneo, GEIE, aggregazione di imprese di rete o consorzio ordinario, ovvero anche in forma individuale qualora gli stessi abbiano partecipato alla gara medesima in raggruppamento, aggregazione o consorzio ordinario di </w:t>
      </w:r>
      <w:r>
        <w:rPr>
          <w:color w:val="auto"/>
        </w:rPr>
        <w:t>concorrenti e, in caso positivo, ad escluderli dalla gara.</w:t>
      </w:r>
    </w:p>
    <w:p w:rsidR="009D1A27" w:rsidRDefault="00FA52AF">
      <w:pPr>
        <w:widowControl w:val="0"/>
        <w:jc w:val="both"/>
        <w:rPr>
          <w:b/>
          <w:color w:val="auto"/>
        </w:rPr>
      </w:pPr>
      <w:r>
        <w:rPr>
          <w:b/>
          <w:bCs/>
          <w:iCs/>
          <w:color w:val="auto"/>
          <w:lang w:eastAsia="it-IT"/>
        </w:rPr>
        <w:t>Definizione</w:t>
      </w:r>
      <w:r>
        <w:rPr>
          <w:b/>
          <w:color w:val="auto"/>
        </w:rPr>
        <w:t xml:space="preserve"> delle controversie</w:t>
      </w:r>
    </w:p>
    <w:p w:rsidR="009D1A27" w:rsidRDefault="00FA52AF">
      <w:pPr>
        <w:widowControl w:val="0"/>
        <w:ind w:left="567"/>
        <w:jc w:val="both"/>
        <w:rPr>
          <w:color w:val="auto"/>
        </w:rPr>
      </w:pPr>
      <w:r>
        <w:rPr>
          <w:color w:val="auto"/>
          <w:lang w:eastAsia="it-IT"/>
        </w:rPr>
        <w:t>Tutte le controversie derivanti da contratto sono deferite alla competenza dell’Autorità giudiziaria del Foro di Siracusa, rimanendo esclusa la competenza arbitrale.</w:t>
      </w:r>
      <w:r>
        <w:rPr>
          <w:color w:val="auto"/>
        </w:rPr>
        <w:t xml:space="preserve"> </w:t>
      </w:r>
    </w:p>
    <w:p w:rsidR="009D1A27" w:rsidRDefault="00FA52AF">
      <w:pPr>
        <w:widowControl w:val="0"/>
        <w:jc w:val="both"/>
        <w:rPr>
          <w:b/>
          <w:color w:val="auto"/>
        </w:rPr>
      </w:pPr>
      <w:r>
        <w:rPr>
          <w:b/>
          <w:bCs/>
          <w:iCs/>
          <w:color w:val="auto"/>
          <w:lang w:eastAsia="it-IT"/>
        </w:rPr>
        <w:t>Trattamento</w:t>
      </w:r>
      <w:r>
        <w:rPr>
          <w:b/>
          <w:color w:val="auto"/>
        </w:rPr>
        <w:t xml:space="preserve"> dei dati personali</w:t>
      </w:r>
    </w:p>
    <w:p w:rsidR="009D1A27" w:rsidRDefault="00FA52AF">
      <w:pPr>
        <w:widowControl w:val="0"/>
        <w:ind w:left="567"/>
        <w:jc w:val="both"/>
        <w:rPr>
          <w:color w:val="auto"/>
          <w:lang w:eastAsia="it-IT"/>
        </w:rPr>
      </w:pPr>
      <w:r>
        <w:rPr>
          <w:color w:val="auto"/>
          <w:lang w:eastAsia="it-IT"/>
        </w:rPr>
        <w:t xml:space="preserve">I dati raccolti saranno trattati, ai sensi del d.lgs. 30 giugno 2003, n. 196 e </w:t>
      </w:r>
      <w:proofErr w:type="spellStart"/>
      <w:r>
        <w:rPr>
          <w:color w:val="auto"/>
          <w:lang w:eastAsia="it-IT"/>
        </w:rPr>
        <w:t>ss.mm.ii</w:t>
      </w:r>
      <w:proofErr w:type="spellEnd"/>
      <w:r>
        <w:rPr>
          <w:color w:val="auto"/>
          <w:lang w:eastAsia="it-IT"/>
        </w:rPr>
        <w:t>., esclusivamente nell’ambito della gara regolata dal presente disciplinare di gara.</w:t>
      </w:r>
    </w:p>
    <w:p w:rsidR="009D1A27" w:rsidRDefault="00FA52AF">
      <w:pPr>
        <w:widowControl w:val="0"/>
        <w:ind w:right="-1"/>
        <w:rPr>
          <w:color w:val="auto"/>
        </w:rPr>
      </w:pPr>
      <w:r>
        <w:rPr>
          <w:color w:val="auto"/>
        </w:rPr>
        <w:t xml:space="preserve">                                                                                         </w:t>
      </w:r>
    </w:p>
    <w:p w:rsidR="009D1A27" w:rsidRDefault="00FA52AF">
      <w:pPr>
        <w:widowControl w:val="0"/>
        <w:ind w:right="-1"/>
        <w:rPr>
          <w:color w:val="auto"/>
        </w:rPr>
      </w:pPr>
      <w:r>
        <w:rPr>
          <w:color w:val="auto"/>
        </w:rPr>
        <w:t xml:space="preserve">                                                                                            Il Responsabile Unico del Progetto</w:t>
      </w:r>
    </w:p>
    <w:p w:rsidR="009D1A27" w:rsidRDefault="00FA52AF">
      <w:pPr>
        <w:widowControl w:val="0"/>
        <w:ind w:right="-1"/>
        <w:rPr>
          <w:color w:val="auto"/>
        </w:rPr>
      </w:pPr>
      <w:r>
        <w:rPr>
          <w:color w:val="auto"/>
        </w:rPr>
        <w:t xml:space="preserve">                                       </w:t>
      </w:r>
      <w:r>
        <w:rPr>
          <w:color w:val="auto"/>
        </w:rPr>
        <w:t xml:space="preserve">                                                             Dott. Giovani Grimaldi</w:t>
      </w:r>
      <w:bookmarkStart w:id="1" w:name="_GoBack"/>
      <w:bookmarkEnd w:id="1"/>
    </w:p>
    <w:sectPr w:rsidR="009D1A27">
      <w:type w:val="continuous"/>
      <w:pgSz w:w="11906" w:h="16838"/>
      <w:pgMar w:top="851" w:right="1134" w:bottom="709"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Serif">
    <w:altName w:val="Felix Titling"/>
    <w:panose1 w:val="04000500000000000000"/>
    <w:charset w:val="00"/>
    <w:family w:val="roman"/>
    <w:pitch w:val="variable"/>
  </w:font>
  <w:font w:name="PalatinoLinotype-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7B2"/>
    <w:multiLevelType w:val="multilevel"/>
    <w:tmpl w:val="48509B8A"/>
    <w:lvl w:ilvl="0">
      <w:start w:val="1"/>
      <w:numFmt w:val="decimal"/>
      <w:pStyle w:val="TESTA"/>
      <w:lvlText w:val="%1."/>
      <w:lvlJc w:val="left"/>
      <w:pPr>
        <w:tabs>
          <w:tab w:val="num" w:pos="0"/>
        </w:tabs>
        <w:ind w:left="360" w:hanging="360"/>
      </w:pPr>
      <w:rPr>
        <w:rFonts w:cs="Times New Roman"/>
        <w:b/>
      </w:rPr>
    </w:lvl>
    <w:lvl w:ilvl="1">
      <w:start w:val="1"/>
      <w:numFmt w:val="decimal"/>
      <w:lvlText w:val="%1.%2."/>
      <w:lvlJc w:val="left"/>
      <w:pPr>
        <w:tabs>
          <w:tab w:val="num" w:pos="0"/>
        </w:tabs>
        <w:ind w:left="644" w:hanging="360"/>
      </w:pPr>
      <w:rPr>
        <w:rFonts w:cs="Times New Roman"/>
        <w:b/>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
    <w:nsid w:val="02EC453D"/>
    <w:multiLevelType w:val="multilevel"/>
    <w:tmpl w:val="F230DB5C"/>
    <w:lvl w:ilvl="0">
      <w:start w:val="1"/>
      <w:numFmt w:val="bullet"/>
      <w:lvlText w:val=""/>
      <w:lvlJc w:val="left"/>
      <w:pPr>
        <w:tabs>
          <w:tab w:val="num" w:pos="0"/>
        </w:tabs>
        <w:ind w:left="644"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563572A"/>
    <w:multiLevelType w:val="multilevel"/>
    <w:tmpl w:val="76F2A1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A44066F"/>
    <w:multiLevelType w:val="multilevel"/>
    <w:tmpl w:val="220A1F8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F239EA"/>
    <w:multiLevelType w:val="multilevel"/>
    <w:tmpl w:val="0C64C5A0"/>
    <w:lvl w:ilvl="0">
      <w:start w:val="1"/>
      <w:numFmt w:val="decimal"/>
      <w:lvlText w:val="%1."/>
      <w:lvlJc w:val="left"/>
      <w:pPr>
        <w:tabs>
          <w:tab w:val="num" w:pos="0"/>
        </w:tabs>
        <w:ind w:left="1004" w:hanging="360"/>
      </w:pPr>
      <w:rPr>
        <w:rFonts w:cs="Times New Roman"/>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5">
    <w:nsid w:val="24812127"/>
    <w:multiLevelType w:val="multilevel"/>
    <w:tmpl w:val="181069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58F11A2"/>
    <w:multiLevelType w:val="multilevel"/>
    <w:tmpl w:val="424E11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31930C63"/>
    <w:multiLevelType w:val="multilevel"/>
    <w:tmpl w:val="C50CEF58"/>
    <w:lvl w:ilvl="0">
      <w:start w:val="1"/>
      <w:numFmt w:val="bullet"/>
      <w:lvlText w:val=""/>
      <w:lvlJc w:val="left"/>
      <w:pPr>
        <w:tabs>
          <w:tab w:val="num" w:pos="0"/>
        </w:tabs>
        <w:ind w:left="1356" w:hanging="360"/>
      </w:pPr>
      <w:rPr>
        <w:rFonts w:ascii="Wingdings" w:hAnsi="Wingdings" w:cs="Wingdings" w:hint="default"/>
      </w:rPr>
    </w:lvl>
    <w:lvl w:ilvl="1">
      <w:start w:val="1"/>
      <w:numFmt w:val="bullet"/>
      <w:lvlText w:val="o"/>
      <w:lvlJc w:val="left"/>
      <w:pPr>
        <w:tabs>
          <w:tab w:val="num" w:pos="0"/>
        </w:tabs>
        <w:ind w:left="2076" w:hanging="360"/>
      </w:pPr>
      <w:rPr>
        <w:rFonts w:ascii="Courier New" w:hAnsi="Courier New" w:cs="Courier New" w:hint="default"/>
      </w:rPr>
    </w:lvl>
    <w:lvl w:ilvl="2">
      <w:start w:val="1"/>
      <w:numFmt w:val="bullet"/>
      <w:lvlText w:val=""/>
      <w:lvlJc w:val="left"/>
      <w:pPr>
        <w:tabs>
          <w:tab w:val="num" w:pos="0"/>
        </w:tabs>
        <w:ind w:left="2796" w:hanging="360"/>
      </w:pPr>
      <w:rPr>
        <w:rFonts w:ascii="Wingdings" w:hAnsi="Wingdings" w:cs="Wingdings" w:hint="default"/>
      </w:rPr>
    </w:lvl>
    <w:lvl w:ilvl="3">
      <w:start w:val="1"/>
      <w:numFmt w:val="bullet"/>
      <w:lvlText w:val=""/>
      <w:lvlJc w:val="left"/>
      <w:pPr>
        <w:tabs>
          <w:tab w:val="num" w:pos="0"/>
        </w:tabs>
        <w:ind w:left="3516" w:hanging="360"/>
      </w:pPr>
      <w:rPr>
        <w:rFonts w:ascii="Symbol" w:hAnsi="Symbol" w:cs="Symbol" w:hint="default"/>
      </w:rPr>
    </w:lvl>
    <w:lvl w:ilvl="4">
      <w:start w:val="1"/>
      <w:numFmt w:val="bullet"/>
      <w:lvlText w:val="o"/>
      <w:lvlJc w:val="left"/>
      <w:pPr>
        <w:tabs>
          <w:tab w:val="num" w:pos="0"/>
        </w:tabs>
        <w:ind w:left="4236" w:hanging="360"/>
      </w:pPr>
      <w:rPr>
        <w:rFonts w:ascii="Courier New" w:hAnsi="Courier New" w:cs="Courier New" w:hint="default"/>
      </w:rPr>
    </w:lvl>
    <w:lvl w:ilvl="5">
      <w:start w:val="1"/>
      <w:numFmt w:val="bullet"/>
      <w:lvlText w:val=""/>
      <w:lvlJc w:val="left"/>
      <w:pPr>
        <w:tabs>
          <w:tab w:val="num" w:pos="0"/>
        </w:tabs>
        <w:ind w:left="4956" w:hanging="360"/>
      </w:pPr>
      <w:rPr>
        <w:rFonts w:ascii="Wingdings" w:hAnsi="Wingdings" w:cs="Wingdings" w:hint="default"/>
      </w:rPr>
    </w:lvl>
    <w:lvl w:ilvl="6">
      <w:start w:val="1"/>
      <w:numFmt w:val="bullet"/>
      <w:lvlText w:val=""/>
      <w:lvlJc w:val="left"/>
      <w:pPr>
        <w:tabs>
          <w:tab w:val="num" w:pos="0"/>
        </w:tabs>
        <w:ind w:left="5676" w:hanging="360"/>
      </w:pPr>
      <w:rPr>
        <w:rFonts w:ascii="Symbol" w:hAnsi="Symbol" w:cs="Symbol" w:hint="default"/>
      </w:rPr>
    </w:lvl>
    <w:lvl w:ilvl="7">
      <w:start w:val="1"/>
      <w:numFmt w:val="bullet"/>
      <w:lvlText w:val="o"/>
      <w:lvlJc w:val="left"/>
      <w:pPr>
        <w:tabs>
          <w:tab w:val="num" w:pos="0"/>
        </w:tabs>
        <w:ind w:left="6396" w:hanging="360"/>
      </w:pPr>
      <w:rPr>
        <w:rFonts w:ascii="Courier New" w:hAnsi="Courier New" w:cs="Courier New" w:hint="default"/>
      </w:rPr>
    </w:lvl>
    <w:lvl w:ilvl="8">
      <w:start w:val="1"/>
      <w:numFmt w:val="bullet"/>
      <w:lvlText w:val=""/>
      <w:lvlJc w:val="left"/>
      <w:pPr>
        <w:tabs>
          <w:tab w:val="num" w:pos="0"/>
        </w:tabs>
        <w:ind w:left="7116" w:hanging="360"/>
      </w:pPr>
      <w:rPr>
        <w:rFonts w:ascii="Wingdings" w:hAnsi="Wingdings" w:cs="Wingdings" w:hint="default"/>
      </w:rPr>
    </w:lvl>
  </w:abstractNum>
  <w:abstractNum w:abstractNumId="8">
    <w:nsid w:val="3B4B6461"/>
    <w:multiLevelType w:val="multilevel"/>
    <w:tmpl w:val="43F479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F740315"/>
    <w:multiLevelType w:val="multilevel"/>
    <w:tmpl w:val="B6926D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45ED500B"/>
    <w:multiLevelType w:val="multilevel"/>
    <w:tmpl w:val="17EAEBC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nsid w:val="4A5F638D"/>
    <w:multiLevelType w:val="multilevel"/>
    <w:tmpl w:val="A8AA06A2"/>
    <w:lvl w:ilvl="0">
      <w:start w:val="1"/>
      <w:numFmt w:val="decimal"/>
      <w:lvlText w:val="%1."/>
      <w:lvlJc w:val="left"/>
      <w:pPr>
        <w:tabs>
          <w:tab w:val="num" w:pos="0"/>
        </w:tabs>
        <w:ind w:left="778" w:hanging="360"/>
      </w:pPr>
    </w:lvl>
    <w:lvl w:ilvl="1">
      <w:start w:val="1"/>
      <w:numFmt w:val="lowerLetter"/>
      <w:lvlText w:val="%2."/>
      <w:lvlJc w:val="left"/>
      <w:pPr>
        <w:tabs>
          <w:tab w:val="num" w:pos="0"/>
        </w:tabs>
        <w:ind w:left="1498" w:hanging="360"/>
      </w:pPr>
    </w:lvl>
    <w:lvl w:ilvl="2">
      <w:start w:val="1"/>
      <w:numFmt w:val="lowerRoman"/>
      <w:lvlText w:val="%3."/>
      <w:lvlJc w:val="right"/>
      <w:pPr>
        <w:tabs>
          <w:tab w:val="num" w:pos="0"/>
        </w:tabs>
        <w:ind w:left="2218" w:hanging="180"/>
      </w:pPr>
    </w:lvl>
    <w:lvl w:ilvl="3">
      <w:start w:val="1"/>
      <w:numFmt w:val="decimal"/>
      <w:lvlText w:val="%4."/>
      <w:lvlJc w:val="left"/>
      <w:pPr>
        <w:tabs>
          <w:tab w:val="num" w:pos="0"/>
        </w:tabs>
        <w:ind w:left="2938" w:hanging="360"/>
      </w:pPr>
    </w:lvl>
    <w:lvl w:ilvl="4">
      <w:start w:val="1"/>
      <w:numFmt w:val="lowerLetter"/>
      <w:lvlText w:val="%5."/>
      <w:lvlJc w:val="left"/>
      <w:pPr>
        <w:tabs>
          <w:tab w:val="num" w:pos="0"/>
        </w:tabs>
        <w:ind w:left="3658" w:hanging="360"/>
      </w:pPr>
    </w:lvl>
    <w:lvl w:ilvl="5">
      <w:start w:val="1"/>
      <w:numFmt w:val="lowerRoman"/>
      <w:lvlText w:val="%6."/>
      <w:lvlJc w:val="right"/>
      <w:pPr>
        <w:tabs>
          <w:tab w:val="num" w:pos="0"/>
        </w:tabs>
        <w:ind w:left="4378" w:hanging="180"/>
      </w:pPr>
    </w:lvl>
    <w:lvl w:ilvl="6">
      <w:start w:val="1"/>
      <w:numFmt w:val="decimal"/>
      <w:lvlText w:val="%7."/>
      <w:lvlJc w:val="left"/>
      <w:pPr>
        <w:tabs>
          <w:tab w:val="num" w:pos="0"/>
        </w:tabs>
        <w:ind w:left="5098" w:hanging="360"/>
      </w:pPr>
    </w:lvl>
    <w:lvl w:ilvl="7">
      <w:start w:val="1"/>
      <w:numFmt w:val="lowerLetter"/>
      <w:lvlText w:val="%8."/>
      <w:lvlJc w:val="left"/>
      <w:pPr>
        <w:tabs>
          <w:tab w:val="num" w:pos="0"/>
        </w:tabs>
        <w:ind w:left="5818" w:hanging="360"/>
      </w:pPr>
    </w:lvl>
    <w:lvl w:ilvl="8">
      <w:start w:val="1"/>
      <w:numFmt w:val="lowerRoman"/>
      <w:lvlText w:val="%9."/>
      <w:lvlJc w:val="right"/>
      <w:pPr>
        <w:tabs>
          <w:tab w:val="num" w:pos="0"/>
        </w:tabs>
        <w:ind w:left="6538" w:hanging="180"/>
      </w:pPr>
    </w:lvl>
  </w:abstractNum>
  <w:abstractNum w:abstractNumId="12">
    <w:nsid w:val="50C71AFD"/>
    <w:multiLevelType w:val="multilevel"/>
    <w:tmpl w:val="0652D322"/>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517F2DD0"/>
    <w:multiLevelType w:val="multilevel"/>
    <w:tmpl w:val="85929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63226DBE"/>
    <w:multiLevelType w:val="multilevel"/>
    <w:tmpl w:val="AA4C9EF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nsid w:val="64BF3297"/>
    <w:multiLevelType w:val="multilevel"/>
    <w:tmpl w:val="25826FB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6">
    <w:nsid w:val="685D7667"/>
    <w:multiLevelType w:val="multilevel"/>
    <w:tmpl w:val="369C4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70E42DC2"/>
    <w:multiLevelType w:val="multilevel"/>
    <w:tmpl w:val="40382EC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5"/>
  </w:num>
  <w:num w:numId="2">
    <w:abstractNumId w:val="4"/>
  </w:num>
  <w:num w:numId="3">
    <w:abstractNumId w:val="2"/>
  </w:num>
  <w:num w:numId="4">
    <w:abstractNumId w:val="7"/>
  </w:num>
  <w:num w:numId="5">
    <w:abstractNumId w:val="14"/>
  </w:num>
  <w:num w:numId="6">
    <w:abstractNumId w:val="10"/>
  </w:num>
  <w:num w:numId="7">
    <w:abstractNumId w:val="12"/>
  </w:num>
  <w:num w:numId="8">
    <w:abstractNumId w:val="6"/>
  </w:num>
  <w:num w:numId="9">
    <w:abstractNumId w:val="1"/>
  </w:num>
  <w:num w:numId="10">
    <w:abstractNumId w:val="17"/>
  </w:num>
  <w:num w:numId="11">
    <w:abstractNumId w:val="9"/>
  </w:num>
  <w:num w:numId="12">
    <w:abstractNumId w:val="8"/>
  </w:num>
  <w:num w:numId="13">
    <w:abstractNumId w:val="5"/>
  </w:num>
  <w:num w:numId="14">
    <w:abstractNumId w:val="0"/>
  </w:num>
  <w:num w:numId="15">
    <w:abstractNumId w:val="13"/>
  </w:num>
  <w:num w:numId="16">
    <w:abstractNumId w:val="3"/>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283"/>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27"/>
    <w:rsid w:val="009D1A27"/>
    <w:rsid w:val="00FA52A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e">
    <w:name w:val="Normal"/>
    <w:qFormat/>
    <w:rsid w:val="00D73DAC"/>
    <w:rPr>
      <w:color w:val="000000"/>
      <w:sz w:val="24"/>
      <w:szCs w:val="24"/>
      <w:lang w:eastAsia="en-US"/>
    </w:rPr>
  </w:style>
  <w:style w:type="paragraph" w:styleId="Titolo1">
    <w:name w:val="heading 1"/>
    <w:basedOn w:val="Normale"/>
    <w:next w:val="Normale"/>
    <w:link w:val="Titolo1Carattere"/>
    <w:uiPriority w:val="9"/>
    <w:qFormat/>
    <w:rsid w:val="00E92D41"/>
    <w:pPr>
      <w:keepNext/>
      <w:spacing w:before="240" w:after="60"/>
      <w:outlineLvl w:val="0"/>
    </w:pPr>
    <w:rPr>
      <w:rFonts w:ascii="Cambria" w:eastAsia="Times New Roman" w:hAnsi="Cambria"/>
      <w:b/>
      <w:bCs/>
      <w:kern w:val="2"/>
      <w:sz w:val="32"/>
      <w:szCs w:val="32"/>
    </w:rPr>
  </w:style>
  <w:style w:type="paragraph" w:styleId="Titolo2">
    <w:name w:val="heading 2"/>
    <w:basedOn w:val="Normale"/>
    <w:next w:val="Normale"/>
    <w:link w:val="Titolo2Carattere"/>
    <w:uiPriority w:val="9"/>
    <w:unhideWhenUsed/>
    <w:qFormat/>
    <w:rsid w:val="0081673C"/>
    <w:pPr>
      <w:keepNext/>
      <w:spacing w:before="120"/>
      <w:outlineLvl w:val="1"/>
    </w:pPr>
    <w:rPr>
      <w:rFonts w:eastAsia="Times New Roman"/>
      <w:b/>
      <w:bCs/>
      <w:i/>
      <w:iCs/>
    </w:rPr>
  </w:style>
  <w:style w:type="paragraph" w:styleId="Titolo4">
    <w:name w:val="heading 4"/>
    <w:basedOn w:val="Normale"/>
    <w:next w:val="Normale"/>
    <w:link w:val="Titolo4Carattere"/>
    <w:uiPriority w:val="9"/>
    <w:semiHidden/>
    <w:unhideWhenUsed/>
    <w:qFormat/>
    <w:rsid w:val="00E92D41"/>
    <w:pPr>
      <w:keepNext/>
      <w:spacing w:before="240" w:after="60" w:line="276" w:lineRule="auto"/>
      <w:outlineLvl w:val="3"/>
    </w:pPr>
    <w:rPr>
      <w:rFonts w:ascii="Calibri" w:eastAsia="Times New Roman" w:hAnsi="Calibri"/>
      <w:b/>
      <w:bCs/>
      <w:color w:val="auto"/>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144CCD"/>
    <w:rPr>
      <w:color w:val="0000FF"/>
      <w:u w:val="single"/>
    </w:rPr>
  </w:style>
  <w:style w:type="character" w:customStyle="1" w:styleId="IntestazioneCarattere">
    <w:name w:val="Intestazione Carattere"/>
    <w:link w:val="Intestazione"/>
    <w:uiPriority w:val="99"/>
    <w:qFormat/>
    <w:rsid w:val="00A663C4"/>
    <w:rPr>
      <w:color w:val="000000"/>
      <w:sz w:val="24"/>
      <w:szCs w:val="24"/>
      <w:lang w:eastAsia="en-US"/>
    </w:rPr>
  </w:style>
  <w:style w:type="character" w:customStyle="1" w:styleId="PidipaginaCarattere">
    <w:name w:val="Piè di pagina Carattere"/>
    <w:link w:val="Pidipagina"/>
    <w:uiPriority w:val="99"/>
    <w:qFormat/>
    <w:rsid w:val="00A663C4"/>
    <w:rPr>
      <w:color w:val="000000"/>
      <w:sz w:val="24"/>
      <w:szCs w:val="24"/>
      <w:lang w:eastAsia="en-US"/>
    </w:rPr>
  </w:style>
  <w:style w:type="character" w:styleId="Enfasigrassetto">
    <w:name w:val="Strong"/>
    <w:uiPriority w:val="22"/>
    <w:qFormat/>
    <w:rsid w:val="00AE7C04"/>
    <w:rPr>
      <w:b/>
      <w:bCs/>
    </w:rPr>
  </w:style>
  <w:style w:type="character" w:customStyle="1" w:styleId="Titolo4Carattere">
    <w:name w:val="Titolo 4 Carattere"/>
    <w:link w:val="Titolo4"/>
    <w:uiPriority w:val="9"/>
    <w:semiHidden/>
    <w:qFormat/>
    <w:rsid w:val="00E92D41"/>
    <w:rPr>
      <w:rFonts w:ascii="Calibri" w:eastAsia="Times New Roman" w:hAnsi="Calibri"/>
      <w:b/>
      <w:bCs/>
      <w:sz w:val="28"/>
      <w:szCs w:val="28"/>
      <w:lang w:eastAsia="en-US"/>
    </w:rPr>
  </w:style>
  <w:style w:type="character" w:customStyle="1" w:styleId="NessunaspaziaturaCarattere">
    <w:name w:val="Nessuna spaziatura Carattere"/>
    <w:link w:val="Nessunaspaziatura"/>
    <w:uiPriority w:val="1"/>
    <w:qFormat/>
    <w:rsid w:val="00E92D41"/>
    <w:rPr>
      <w:rFonts w:ascii="Calibri" w:eastAsia="Times New Roman" w:hAnsi="Calibri"/>
      <w:sz w:val="22"/>
      <w:szCs w:val="22"/>
      <w:lang w:val="it-IT" w:eastAsia="en-US" w:bidi="ar-SA"/>
    </w:rPr>
  </w:style>
  <w:style w:type="character" w:styleId="Titolodellibro">
    <w:name w:val="Book Title"/>
    <w:qFormat/>
    <w:rsid w:val="00E92D41"/>
    <w:rPr>
      <w:b/>
      <w:bCs/>
      <w:smallCaps/>
      <w:spacing w:val="5"/>
    </w:rPr>
  </w:style>
  <w:style w:type="character" w:customStyle="1" w:styleId="Titolo1Carattere">
    <w:name w:val="Titolo 1 Carattere"/>
    <w:link w:val="Titolo1"/>
    <w:uiPriority w:val="9"/>
    <w:qFormat/>
    <w:rsid w:val="00E92D41"/>
    <w:rPr>
      <w:rFonts w:ascii="Cambria" w:eastAsia="Times New Roman" w:hAnsi="Cambria" w:cs="Times New Roman"/>
      <w:b/>
      <w:bCs/>
      <w:color w:val="000000"/>
      <w:kern w:val="2"/>
      <w:sz w:val="32"/>
      <w:szCs w:val="32"/>
      <w:lang w:eastAsia="en-US"/>
    </w:rPr>
  </w:style>
  <w:style w:type="character" w:customStyle="1" w:styleId="TestonotaapidipaginaCarattere">
    <w:name w:val="Testo nota a piè di pagina Carattere"/>
    <w:link w:val="Testonotaapidipagina"/>
    <w:uiPriority w:val="99"/>
    <w:semiHidden/>
    <w:qFormat/>
    <w:rsid w:val="001B2450"/>
    <w:rPr>
      <w:rFonts w:ascii="Calibri" w:hAnsi="Calibri"/>
      <w:lang w:eastAsia="en-US"/>
    </w:rPr>
  </w:style>
  <w:style w:type="character" w:customStyle="1" w:styleId="Caratterinotaapidipagina">
    <w:name w:val="Caratteri nota a piè di pagina"/>
    <w:uiPriority w:val="99"/>
    <w:semiHidden/>
    <w:unhideWhenUsed/>
    <w:qFormat/>
    <w:rsid w:val="001B2450"/>
    <w:rPr>
      <w:vertAlign w:val="superscript"/>
    </w:rPr>
  </w:style>
  <w:style w:type="character" w:styleId="Rimandonotaapidipagina">
    <w:name w:val="footnote reference"/>
    <w:rPr>
      <w:vertAlign w:val="superscript"/>
    </w:rPr>
  </w:style>
  <w:style w:type="character" w:customStyle="1" w:styleId="Menzionenonrisolta1">
    <w:name w:val="Menzione non risolta1"/>
    <w:uiPriority w:val="99"/>
    <w:semiHidden/>
    <w:unhideWhenUsed/>
    <w:qFormat/>
    <w:rsid w:val="007451C5"/>
    <w:rPr>
      <w:color w:val="605E5C"/>
      <w:shd w:val="clear" w:color="auto" w:fill="E1DFDD"/>
    </w:rPr>
  </w:style>
  <w:style w:type="character" w:customStyle="1" w:styleId="Titolo2Carattere">
    <w:name w:val="Titolo 2 Carattere"/>
    <w:link w:val="Titolo2"/>
    <w:uiPriority w:val="9"/>
    <w:qFormat/>
    <w:rsid w:val="0081673C"/>
    <w:rPr>
      <w:rFonts w:eastAsia="Times New Roman"/>
      <w:b/>
      <w:bCs/>
      <w:i/>
      <w:iCs/>
      <w:color w:val="000000"/>
      <w:sz w:val="24"/>
      <w:szCs w:val="24"/>
      <w:lang w:eastAsia="en-US"/>
    </w:rPr>
  </w:style>
  <w:style w:type="character" w:customStyle="1" w:styleId="TestofumettoCarattere">
    <w:name w:val="Testo fumetto Carattere"/>
    <w:basedOn w:val="Carpredefinitoparagrafo"/>
    <w:link w:val="Testofumetto"/>
    <w:uiPriority w:val="99"/>
    <w:semiHidden/>
    <w:qFormat/>
    <w:rsid w:val="00C32FDE"/>
    <w:rPr>
      <w:rFonts w:ascii="Tahoma" w:hAnsi="Tahoma" w:cs="Tahoma"/>
      <w:color w:val="000000"/>
      <w:sz w:val="16"/>
      <w:szCs w:val="16"/>
      <w:lang w:eastAsia="en-US"/>
    </w:rPr>
  </w:style>
  <w:style w:type="character" w:customStyle="1" w:styleId="Menzionenonrisolta2">
    <w:name w:val="Menzione non risolta2"/>
    <w:basedOn w:val="Carpredefinitoparagrafo"/>
    <w:uiPriority w:val="99"/>
    <w:semiHidden/>
    <w:unhideWhenUsed/>
    <w:qFormat/>
    <w:rsid w:val="00A92718"/>
    <w:rPr>
      <w:color w:val="605E5C"/>
      <w:shd w:val="clear" w:color="auto" w:fill="E1DFDD"/>
    </w:rPr>
  </w:style>
  <w:style w:type="character" w:customStyle="1" w:styleId="UnresolvedMention">
    <w:name w:val="Unresolved Mention"/>
    <w:basedOn w:val="Carpredefinitoparagrafo"/>
    <w:uiPriority w:val="99"/>
    <w:semiHidden/>
    <w:unhideWhenUsed/>
    <w:qFormat/>
    <w:rsid w:val="00D93BC4"/>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250E0A"/>
    <w:pPr>
      <w:ind w:left="720"/>
      <w:contextualSpacing/>
    </w:pPr>
  </w:style>
  <w:style w:type="paragraph" w:customStyle="1" w:styleId="DefaultText">
    <w:name w:val="Default Text"/>
    <w:basedOn w:val="Normale"/>
    <w:qFormat/>
    <w:rsid w:val="00F81070"/>
    <w:rPr>
      <w:rFonts w:ascii="Book Antiqua" w:eastAsia="Times New Roman" w:hAnsi="Book Antiqua"/>
      <w:b/>
      <w:color w:val="auto"/>
      <w:szCs w:val="20"/>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A663C4"/>
    <w:pPr>
      <w:tabs>
        <w:tab w:val="center" w:pos="4819"/>
        <w:tab w:val="right" w:pos="9638"/>
      </w:tabs>
    </w:pPr>
  </w:style>
  <w:style w:type="paragraph" w:styleId="Pidipagina">
    <w:name w:val="footer"/>
    <w:basedOn w:val="Normale"/>
    <w:link w:val="PidipaginaCarattere"/>
    <w:uiPriority w:val="99"/>
    <w:unhideWhenUsed/>
    <w:rsid w:val="00A663C4"/>
    <w:pPr>
      <w:tabs>
        <w:tab w:val="center" w:pos="4819"/>
        <w:tab w:val="right" w:pos="9638"/>
      </w:tabs>
    </w:pPr>
  </w:style>
  <w:style w:type="paragraph" w:customStyle="1" w:styleId="CM21">
    <w:name w:val="CM21"/>
    <w:basedOn w:val="Normale"/>
    <w:next w:val="Normale"/>
    <w:qFormat/>
    <w:rsid w:val="00E92D41"/>
    <w:pPr>
      <w:widowControl w:val="0"/>
    </w:pPr>
    <w:rPr>
      <w:rFonts w:eastAsia="Times New Roman"/>
      <w:color w:val="auto"/>
      <w:lang w:eastAsia="it-IT"/>
    </w:rPr>
  </w:style>
  <w:style w:type="paragraph" w:customStyle="1" w:styleId="Corpotesto1">
    <w:name w:val="Corpo testo1"/>
    <w:qFormat/>
    <w:rsid w:val="00E92D41"/>
    <w:rPr>
      <w:rFonts w:ascii="MS Serif" w:eastAsia="Times New Roman" w:hAnsi="MS Serif"/>
      <w:color w:val="000000"/>
      <w:sz w:val="24"/>
      <w:lang w:val="en-US"/>
    </w:rPr>
  </w:style>
  <w:style w:type="paragraph" w:customStyle="1" w:styleId="CM24">
    <w:name w:val="CM24"/>
    <w:basedOn w:val="Normale"/>
    <w:next w:val="Normale"/>
    <w:uiPriority w:val="99"/>
    <w:qFormat/>
    <w:rsid w:val="00E92D41"/>
    <w:pPr>
      <w:widowControl w:val="0"/>
    </w:pPr>
    <w:rPr>
      <w:rFonts w:eastAsia="Times New Roman"/>
      <w:color w:val="auto"/>
      <w:lang w:eastAsia="it-IT"/>
    </w:rPr>
  </w:style>
  <w:style w:type="paragraph" w:styleId="NormaleWeb">
    <w:name w:val="Normal (Web)"/>
    <w:basedOn w:val="Normale"/>
    <w:uiPriority w:val="99"/>
    <w:qFormat/>
    <w:rsid w:val="00E92D41"/>
    <w:pPr>
      <w:spacing w:beforeAutospacing="1" w:afterAutospacing="1"/>
    </w:pPr>
    <w:rPr>
      <w:rFonts w:eastAsia="Times New Roman"/>
      <w:color w:val="auto"/>
      <w:lang w:eastAsia="it-IT"/>
    </w:rPr>
  </w:style>
  <w:style w:type="paragraph" w:styleId="Nessunaspaziatura">
    <w:name w:val="No Spacing"/>
    <w:link w:val="NessunaspaziaturaCarattere"/>
    <w:uiPriority w:val="1"/>
    <w:qFormat/>
    <w:rsid w:val="00E92D41"/>
    <w:rPr>
      <w:rFonts w:ascii="Calibri" w:eastAsia="Times New Roman" w:hAnsi="Calibri"/>
      <w:sz w:val="22"/>
      <w:szCs w:val="22"/>
      <w:lang w:eastAsia="en-US"/>
    </w:rPr>
  </w:style>
  <w:style w:type="paragraph" w:customStyle="1" w:styleId="TESTA">
    <w:name w:val="TESTA"/>
    <w:basedOn w:val="Titolo1"/>
    <w:autoRedefine/>
    <w:qFormat/>
    <w:rsid w:val="007451C5"/>
    <w:pPr>
      <w:widowControl w:val="0"/>
      <w:numPr>
        <w:numId w:val="14"/>
      </w:numPr>
      <w:shd w:val="clear" w:color="auto" w:fill="548DD4"/>
      <w:spacing w:before="0" w:after="0"/>
      <w:ind w:right="-1"/>
      <w:jc w:val="center"/>
    </w:pPr>
    <w:rPr>
      <w:rFonts w:ascii="Times New Roman" w:eastAsia="PalatinoLinotype-Bold" w:hAnsi="Times New Roman"/>
      <w:b w:val="0"/>
      <w:i/>
      <w:color w:val="FFFFFF"/>
      <w:kern w:val="0"/>
      <w:sz w:val="22"/>
      <w:szCs w:val="22"/>
    </w:rPr>
  </w:style>
  <w:style w:type="paragraph" w:styleId="Testonotaapidipagina">
    <w:name w:val="footnote text"/>
    <w:basedOn w:val="Normale"/>
    <w:link w:val="TestonotaapidipaginaCarattere"/>
    <w:uiPriority w:val="99"/>
    <w:semiHidden/>
    <w:unhideWhenUsed/>
    <w:rsid w:val="001B2450"/>
    <w:pPr>
      <w:spacing w:after="200" w:line="276" w:lineRule="auto"/>
    </w:pPr>
    <w:rPr>
      <w:rFonts w:ascii="Calibri" w:hAnsi="Calibri"/>
      <w:color w:val="auto"/>
      <w:sz w:val="20"/>
      <w:szCs w:val="20"/>
    </w:rPr>
  </w:style>
  <w:style w:type="paragraph" w:styleId="Titoloindice">
    <w:name w:val="index heading"/>
    <w:basedOn w:val="Titolo"/>
  </w:style>
  <w:style w:type="paragraph" w:styleId="Titolosommario">
    <w:name w:val="TOC Heading"/>
    <w:basedOn w:val="Titolo1"/>
    <w:next w:val="Normale"/>
    <w:uiPriority w:val="39"/>
    <w:unhideWhenUsed/>
    <w:qFormat/>
    <w:rsid w:val="00136145"/>
    <w:pPr>
      <w:keepLines/>
      <w:spacing w:after="0" w:line="259" w:lineRule="auto"/>
      <w:outlineLvl w:val="9"/>
    </w:pPr>
    <w:rPr>
      <w:rFonts w:ascii="Calibri Light" w:hAnsi="Calibri Light"/>
      <w:b w:val="0"/>
      <w:bCs w:val="0"/>
      <w:color w:val="2F5496"/>
      <w:kern w:val="0"/>
      <w:lang w:eastAsia="it-IT"/>
    </w:rPr>
  </w:style>
  <w:style w:type="paragraph" w:styleId="Sommario1">
    <w:name w:val="toc 1"/>
    <w:basedOn w:val="Normale"/>
    <w:next w:val="Normale"/>
    <w:autoRedefine/>
    <w:uiPriority w:val="39"/>
    <w:unhideWhenUsed/>
    <w:rsid w:val="009A4E02"/>
    <w:pPr>
      <w:tabs>
        <w:tab w:val="left" w:pos="440"/>
        <w:tab w:val="right" w:leader="dot" w:pos="9628"/>
      </w:tabs>
      <w:ind w:left="426" w:hanging="426"/>
    </w:pPr>
  </w:style>
  <w:style w:type="paragraph" w:styleId="Sommario2">
    <w:name w:val="toc 2"/>
    <w:basedOn w:val="Normale"/>
    <w:next w:val="Normale"/>
    <w:autoRedefine/>
    <w:uiPriority w:val="39"/>
    <w:unhideWhenUsed/>
    <w:rsid w:val="0070195F"/>
    <w:pPr>
      <w:tabs>
        <w:tab w:val="right" w:leader="dot" w:pos="9638"/>
      </w:tabs>
      <w:ind w:left="240"/>
    </w:pPr>
  </w:style>
  <w:style w:type="paragraph" w:styleId="Testofumetto">
    <w:name w:val="Balloon Text"/>
    <w:basedOn w:val="Normale"/>
    <w:link w:val="TestofumettoCarattere"/>
    <w:uiPriority w:val="99"/>
    <w:semiHidden/>
    <w:unhideWhenUsed/>
    <w:qFormat/>
    <w:rsid w:val="00C32F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ccsiracusa.tuttogare.it/" TargetMode="External"/><Relationship Id="rId13" Type="http://schemas.openxmlformats.org/officeDocument/2006/relationships/hyperlink" Target="https://lccsiracusa.tuttogare.it/" TargetMode="External"/><Relationship Id="rId18" Type="http://schemas.openxmlformats.org/officeDocument/2006/relationships/hyperlink" Target="https://www.anticorruzione.it/-/gestione-contributi-gara"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lccsiracusa.tuttogare.it/" TargetMode="External"/><Relationship Id="rId17" Type="http://schemas.openxmlformats.org/officeDocument/2006/relationships/hyperlink" Target="https://www.anticorruzione.it/-/gestione-contributi-gara" TargetMode="External"/><Relationship Id="rId2" Type="http://schemas.openxmlformats.org/officeDocument/2006/relationships/numbering" Target="numbering.xml"/><Relationship Id="rId16" Type="http://schemas.openxmlformats.org/officeDocument/2006/relationships/hyperlink" Target="https://lccsiracusa.tuttogare.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ccsiracusa.tuttogare.it/" TargetMode="External"/><Relationship Id="rId5" Type="http://schemas.openxmlformats.org/officeDocument/2006/relationships/settings" Target="settings.xml"/><Relationship Id="rId15" Type="http://schemas.openxmlformats.org/officeDocument/2006/relationships/hyperlink" Target="https://lccsiracusa.tuttogare.it/" TargetMode="External"/><Relationship Id="rId10" Type="http://schemas.openxmlformats.org/officeDocument/2006/relationships/hyperlink" Target="https://appalti.regionesiciliana.lavoripubblici.sicilia.i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ccsiracusa.tuttogare.it/" TargetMode="External"/><Relationship Id="rId14" Type="http://schemas.openxmlformats.org/officeDocument/2006/relationships/hyperlink" Target="http://www.provincia.Siracusa.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A02F6-D26D-4E15-A45E-FBB9272B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5026</Words>
  <Characters>28652</Characters>
  <Application>Microsoft Office Word</Application>
  <DocSecurity>0</DocSecurity>
  <Lines>238</Lines>
  <Paragraphs>67</Paragraphs>
  <ScaleCrop>false</ScaleCrop>
  <Company>Hewlett-Packard Company</Company>
  <LinksUpToDate>false</LinksUpToDate>
  <CharactersWithSpaces>33611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pace.p</dc:creator>
  <dc:description/>
  <cp:lastModifiedBy>Utente</cp:lastModifiedBy>
  <cp:revision>7</cp:revision>
  <cp:lastPrinted>2024-10-29T08:32:00Z</cp:lastPrinted>
  <dcterms:created xsi:type="dcterms:W3CDTF">2025-09-22T09:36:00Z</dcterms:created>
  <dcterms:modified xsi:type="dcterms:W3CDTF">2025-09-26T08:29:00Z</dcterms:modified>
  <dc:language>it-IT</dc:language>
</cp:coreProperties>
</file>