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Arial" w:cs="Times New Roman"/>
        </w:rPr>
      </w:pPr>
      <w:r>
        <w:rPr>
          <w:rFonts w:cs="Times New Roman"/>
          <w:b/>
          <w:bCs/>
        </w:rPr>
        <w:t xml:space="preserve">PROCEDURA NEGOZIATA, SENZA PREVIA PUBBLICAZIONE DI UN BANDO, </w:t>
      </w:r>
      <w:r>
        <w:rPr>
          <w:rFonts w:eastAsia="Arial" w:cs="Times New Roman"/>
          <w:b/>
          <w:bCs/>
        </w:rPr>
        <w:br/>
      </w:r>
      <w:r>
        <w:rPr>
          <w:rFonts w:cs="Times New Roman"/>
          <w:b/>
          <w:bCs/>
        </w:rPr>
        <w:t>PER L’AFFIDAMENTO DI SERVIZI DI IMPORTO PARI O SUPERIORE A € 140.000,00</w:t>
      </w:r>
      <w:r>
        <w:rPr>
          <w:rFonts w:eastAsia="Arial" w:cs="Times New Roman"/>
          <w:b/>
          <w:bCs/>
        </w:rPr>
        <w:br/>
      </w:r>
      <w:r>
        <w:rPr>
          <w:rFonts w:cs="Times New Roman"/>
          <w:b/>
          <w:bCs/>
        </w:rPr>
        <w:t>E INFERIORE ALLA SOGLIA DI RILEVANZA EUROPEA DI CUI</w:t>
      </w:r>
      <w:r>
        <w:rPr>
          <w:rFonts w:eastAsia="Arial" w:cs="Times New Roman"/>
          <w:b/>
          <w:bCs/>
        </w:rPr>
        <w:br/>
      </w:r>
      <w:r>
        <w:rPr>
          <w:rFonts w:cs="Times New Roman"/>
          <w:b/>
          <w:bCs/>
        </w:rPr>
        <w:t xml:space="preserve">ALL’ART. 14 DEL </w:t>
      </w:r>
      <w:r>
        <w:rPr>
          <w:rFonts w:cs="Times New Roman"/>
          <w:b/>
          <w:bCs/>
          <w:u w:val="single"/>
        </w:rPr>
        <w:t>D.LGS. N. 36/2023</w:t>
      </w:r>
    </w:p>
    <w:p>
      <w:pPr>
        <w:pStyle w:val="Standard"/>
        <w:jc w:val="center"/>
        <w:rPr>
          <w:rFonts w:cs="Times New Roman"/>
          <w:b/>
          <w:b/>
          <w:bCs/>
        </w:rPr>
      </w:pPr>
      <w:r>
        <w:rPr>
          <w:rFonts w:eastAsia="Arial" w:cs="Times New Roman"/>
          <w:b/>
          <w:bCs/>
        </w:rPr>
        <w:br/>
      </w:r>
      <w:r>
        <w:rPr/>
        <w:drawing>
          <wp:inline distT="0" distB="0" distL="0" distR="0">
            <wp:extent cx="6116320" cy="600075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jc w:val="center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jc w:val="center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</w:r>
    </w:p>
    <w:p>
      <w:pPr>
        <w:pStyle w:val="Standard"/>
        <w:jc w:val="center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  <w:t xml:space="preserve">VERBALE  di gara </w:t>
      </w:r>
    </w:p>
    <w:p>
      <w:pPr>
        <w:pStyle w:val="Standard"/>
        <w:jc w:val="center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  <w:t>Nomina Commissione Seduta Riservata</w:t>
      </w:r>
    </w:p>
    <w:p>
      <w:pPr>
        <w:pStyle w:val="Standard"/>
        <w:jc w:val="center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</w:r>
    </w:p>
    <w:p>
      <w:pPr>
        <w:pStyle w:val="Standard"/>
        <w:jc w:val="center"/>
        <w:rPr>
          <w:rFonts w:eastAsia="Arial" w:cs="Times New Roman"/>
          <w:b/>
          <w:b/>
          <w:bCs/>
          <w:i/>
          <w:i/>
          <w:iCs/>
          <w:color w:val="FF0000"/>
          <w:u w:val="none" w:color="FF0000"/>
        </w:rPr>
      </w:pPr>
      <w:r>
        <w:rPr>
          <w:rFonts w:eastAsia="Arial" w:cs="Times New Roman"/>
          <w:b/>
          <w:bCs/>
          <w:i/>
          <w:iCs/>
          <w:color w:val="FF0000"/>
          <w:u w:val="none" w:color="FF0000"/>
        </w:rPr>
      </w:r>
    </w:p>
    <w:p>
      <w:pPr>
        <w:pStyle w:val="Standard"/>
        <w:tabs>
          <w:tab w:val="clear" w:pos="709"/>
          <w:tab w:val="right" w:pos="8222" w:leader="underscore"/>
        </w:tabs>
        <w:jc w:val="center"/>
        <w:rPr>
          <w:rFonts w:eastAsia="Arial" w:cs="Times New Roman"/>
          <w:b/>
          <w:b/>
          <w:bCs/>
        </w:rPr>
      </w:pPr>
      <w:r>
        <w:rPr>
          <w:rFonts w:cs="Times New Roman"/>
          <w:b/>
          <w:bCs/>
        </w:rPr>
        <w:t>LIBERO CONSORZIO COMUNALE DI SIRACUSA</w:t>
      </w:r>
    </w:p>
    <w:p>
      <w:pPr>
        <w:pStyle w:val="Standard"/>
        <w:tabs>
          <w:tab w:val="clear" w:pos="709"/>
          <w:tab w:val="right" w:pos="8222" w:leader="underscore"/>
        </w:tabs>
        <w:jc w:val="center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Standard"/>
        <w:tabs>
          <w:tab w:val="clear" w:pos="709"/>
          <w:tab w:val="right" w:pos="8222" w:leader="underscore"/>
        </w:tabs>
        <w:jc w:val="center"/>
        <w:rPr>
          <w:rFonts w:eastAsia="Arial" w:cs="Times New Roman"/>
          <w:b/>
          <w:b/>
          <w:bCs/>
        </w:rPr>
      </w:pPr>
      <w:r>
        <w:rPr>
          <w:rFonts w:cs="Times New Roman"/>
          <w:b/>
          <w:bCs/>
        </w:rPr>
        <w:t>I.T.S. Academy Fondazione Archimede</w:t>
      </w:r>
    </w:p>
    <w:p>
      <w:pPr>
        <w:pStyle w:val="Standard"/>
        <w:tabs>
          <w:tab w:val="clear" w:pos="709"/>
          <w:tab w:val="right" w:pos="8222" w:leader="underscore"/>
        </w:tabs>
        <w:jc w:val="center"/>
        <w:rPr>
          <w:rFonts w:eastAsia="Arial" w:cs="Times New Roman"/>
          <w:b/>
          <w:b/>
          <w:bCs/>
          <w:i/>
          <w:i/>
          <w:iCs/>
        </w:rPr>
      </w:pPr>
      <w:r>
        <w:rPr>
          <w:rFonts w:eastAsia="Arial" w:cs="Times New Roman"/>
          <w:b/>
          <w:bCs/>
          <w:i/>
          <w:iCs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874135" cy="843915"/>
            <wp:effectExtent l="0" t="0" r="0" b="0"/>
            <wp:docPr id="2" name="officeArt object" descr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fficeArt object" descr="Immagine 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3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jc w:val="center"/>
        <w:rPr>
          <w:rFonts w:ascii="Times New Roman" w:hAnsi="Times New Roman" w:eastAsia="Times New Roman" w:cs="Times New Roman"/>
        </w:rPr>
      </w:pPr>
      <w:r>
        <w:rPr/>
        <w:drawing>
          <wp:inline distT="0" distB="0" distL="0" distR="0">
            <wp:extent cx="1932305" cy="1122680"/>
            <wp:effectExtent l="0" t="0" r="0" b="0"/>
            <wp:docPr id="3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clear" w:pos="709"/>
          <w:tab w:val="right" w:pos="8222" w:leader="underscore"/>
        </w:tabs>
        <w:rPr>
          <w:rFonts w:eastAsia="Arial" w:cs="Times New Roman"/>
        </w:rPr>
      </w:pPr>
      <w:r>
        <w:rPr>
          <w:rFonts w:eastAsia="Arial" w:cs="Times New Roman"/>
        </w:rPr>
      </w:r>
    </w:p>
    <w:p>
      <w:pPr>
        <w:pStyle w:val="Standard"/>
        <w:jc w:val="both"/>
        <w:rPr>
          <w:rFonts w:eastAsia="Arial" w:cs="Times New Roman"/>
          <w:i/>
          <w:i/>
          <w:iCs/>
        </w:rPr>
      </w:pPr>
      <w:r>
        <w:rPr>
          <w:rFonts w:cs="Times New Roman"/>
          <w:i/>
          <w:iCs/>
        </w:rPr>
        <w:t>Iniziativa finanziata con fondi Missione 4 – Istruzione e Ricerca – Componente 1 – Potenziamento dell’offerta dei servizi di istruzione: dagli asili nido alle Università – Investimento 1.5 “Sviluppo del sistema di formazione professionale terziaria (ITS)” del Piano nazionale di ripresa e resilienza</w:t>
      </w:r>
    </w:p>
    <w:p>
      <w:pPr>
        <w:pStyle w:val="Standard"/>
        <w:ind w:left="1701" w:right="1701" w:hanging="0"/>
        <w:rPr>
          <w:rFonts w:eastAsia="Arial" w:cs="Times New Roman"/>
          <w:i/>
          <w:i/>
          <w:iCs/>
        </w:rPr>
      </w:pPr>
      <w:r>
        <w:rPr>
          <w:rFonts w:cs="Times New Roman"/>
          <w:i/>
          <w:iCs/>
        </w:rPr>
        <w:t>“</w:t>
      </w:r>
      <w:r>
        <w:rPr>
          <w:rFonts w:cs="Times New Roman"/>
          <w:i/>
          <w:iCs/>
        </w:rPr>
        <w:t>Finanziato dall’Unione europea – Next Generation EU”</w:t>
      </w:r>
    </w:p>
    <w:p>
      <w:pPr>
        <w:pStyle w:val="Standard"/>
        <w:ind w:left="1701" w:right="1701" w:hanging="0"/>
        <w:jc w:val="center"/>
        <w:rPr>
          <w:rFonts w:eastAsia="Arial" w:cs="Times New Roman"/>
        </w:rPr>
      </w:pPr>
      <w:r>
        <w:rPr>
          <w:rFonts w:eastAsia="Arial" w:cs="Times New Roman"/>
        </w:rPr>
      </w:r>
    </w:p>
    <w:p>
      <w:pPr>
        <w:pStyle w:val="Standard"/>
        <w:ind w:left="1701" w:right="1701" w:hanging="0"/>
        <w:jc w:val="center"/>
        <w:rPr>
          <w:rFonts w:eastAsia="Arial" w:cs="Times New Roman"/>
        </w:rPr>
      </w:pPr>
      <w:r>
        <w:rPr>
          <w:rFonts w:eastAsia="Arial" w:cs="Times New Roman"/>
        </w:rPr>
      </w:r>
    </w:p>
    <w:tbl>
      <w:tblPr>
        <w:tblStyle w:val="TableNormal"/>
        <w:tblW w:w="9679" w:type="dxa"/>
        <w:jc w:val="center"/>
        <w:tblInd w:w="0" w:type="dxa"/>
        <w:tblCellMar>
          <w:top w:w="80" w:type="dxa"/>
          <w:left w:w="80" w:type="dxa"/>
          <w:bottom w:w="80" w:type="dxa"/>
          <w:right w:w="80" w:type="dxa"/>
        </w:tblCellMar>
        <w:tblLook w:firstRow="1" w:noVBand="1" w:lastRow="0" w:firstColumn="1" w:lastColumn="0" w:noHBand="0" w:val="04a0"/>
      </w:tblPr>
      <w:tblGrid>
        <w:gridCol w:w="9679"/>
      </w:tblGrid>
      <w:tr>
        <w:trPr>
          <w:trHeight w:val="753" w:hRule="atLeast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Standard"/>
              <w:suppressAutoHyphens w:val="true"/>
              <w:jc w:val="both"/>
              <w:rPr>
                <w:rFonts w:eastAsia="Arial" w:cs="Times New Roman"/>
                <w:b/>
                <w:b/>
                <w:bCs/>
              </w:rPr>
            </w:pPr>
            <w:r>
              <w:rPr>
                <w:rFonts w:cs="Times New Roman"/>
              </w:rPr>
              <w:t>OGGETTO:</w:t>
            </w:r>
            <w:r>
              <w:rPr>
                <w:rFonts w:eastAsia="Arial" w:cs="Times New Roman"/>
                <w:smallCaps/>
              </w:rPr>
              <w:tab/>
            </w:r>
            <w:r>
              <w:rPr>
                <w:rFonts w:cs="Times New Roman"/>
                <w:b/>
                <w:bCs/>
              </w:rPr>
              <w:t xml:space="preserve">Procedura negoziata per l’affidamento del servizio di formazione di </w:t>
            </w:r>
            <w:r>
              <w:rPr>
                <w:rFonts w:cs="Times New Roman"/>
                <w:b/>
                <w:bCs/>
                <w:u w:val="single" w:color="000000"/>
              </w:rPr>
              <w:t xml:space="preserve">docenti ed esperti </w:t>
            </w:r>
            <w:r>
              <w:rPr>
                <w:rFonts w:cs="Times New Roman"/>
                <w:b/>
                <w:bCs/>
              </w:rPr>
              <w:t>nell’ambito della Azione “Potenziamento offerta formativa ITS Academy”</w:t>
            </w:r>
          </w:p>
        </w:tc>
      </w:tr>
    </w:tbl>
    <w:p>
      <w:pPr>
        <w:pStyle w:val="Normal"/>
        <w:rPr>
          <w:rFonts w:eastAsia="Arial"/>
          <w:b/>
          <w:b/>
          <w:bCs/>
        </w:rPr>
      </w:pPr>
      <w:r>
        <w:rPr>
          <w:rFonts w:eastAsia="Arial"/>
          <w:b/>
          <w:bCs/>
        </w:rPr>
      </w:r>
    </w:p>
    <w:p>
      <w:pPr>
        <w:pStyle w:val="Standard"/>
        <w:jc w:val="both"/>
        <w:rPr/>
      </w:pPr>
      <w:r>
        <w:rPr>
          <w:rFonts w:cs="Times New Roman"/>
          <w:b w:val="false"/>
          <w:bCs w:val="false"/>
        </w:rPr>
        <w:t xml:space="preserve">L’anno duemilaventiquattro, il giorno </w:t>
      </w:r>
      <w:r>
        <w:rPr>
          <w:rFonts w:eastAsia="Arial Unicode MS" w:cs="Times New Roman"/>
          <w:b w:val="false"/>
          <w:bCs w:val="false"/>
          <w:color w:val="000000"/>
          <w:kern w:val="2"/>
          <w:sz w:val="24"/>
          <w:szCs w:val="24"/>
          <w:u w:val="none" w:color="000000"/>
          <w:lang w:val="it-IT" w:eastAsia="it-IT" w:bidi="ar-SA"/>
        </w:rPr>
        <w:t>cinque</w:t>
      </w:r>
      <w:r>
        <w:rPr>
          <w:rFonts w:cs="Times New Roman"/>
          <w:b w:val="false"/>
          <w:bCs w:val="false"/>
        </w:rPr>
        <w:t xml:space="preserve"> del mese di dicembre, alle ore 09:00 nei locali del      Libero Consorzio Comunale di Siracusa, è stata nominata la commissione per la seduta riservata alla valutazione dell’offerta tecnica. così composta: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 xml:space="preserve">1) Dr. Salvatore Gangi, 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it-IT" w:eastAsia="it-IT" w:bidi="ar-SA"/>
        </w:rPr>
        <w:t>in</w:t>
      </w:r>
      <w:r>
        <w:rPr>
          <w:rFonts w:cs="Times New Roman"/>
          <w:b w:val="false"/>
          <w:bCs w:val="false"/>
        </w:rPr>
        <w:t xml:space="preserve"> qualità di Presidente;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2) Dott.ssa Caterina Sarcià, in qualità di Componente;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3) Dott. Emanuele Miceli, in qualità di Componente;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4) Sig. Ezio Berti, in qualità di segretario verbalizzante.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I componenti della Commissione confermano l’insussistenza di cause di incompatibilità con gli operatori economici in gara.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</w:rPr>
        <w:t>Le valutazioni saranno effettuate sulla base dei criteri motivazionali così da garantire l’imparzialità nelle valutazioni, la tutela della par condicio dei concorrenti e la trasparenza dell’operato della   Commissione .</w:t>
      </w:r>
    </w:p>
    <w:p>
      <w:pPr>
        <w:pStyle w:val="Normal"/>
        <w:jc w:val="both"/>
        <w:rPr>
          <w:rFonts w:cs="Times New Roman"/>
          <w:b w:val="false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Standard"/>
        <w:jc w:val="both"/>
        <w:rPr>
          <w:rFonts w:eastAsia="Arial" w:cs="Times New Roman"/>
          <w:b/>
          <w:b/>
          <w:bCs/>
        </w:rPr>
      </w:pPr>
      <w:r>
        <w:rPr>
          <w:rFonts w:eastAsia="Arial" w:cs="Times New Roman"/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>IL RUP</w:t>
      </w:r>
    </w:p>
    <w:sectPr>
      <w:headerReference w:type="default" r:id="rId5"/>
      <w:type w:val="nextPage"/>
      <w:pgSz w:w="11906" w:h="16838"/>
      <w:pgMar w:left="1134" w:right="1134" w:header="708" w:top="993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Trebuchet MS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left" w:pos="2552" w:leader="none"/>
        <w:tab w:val="center" w:pos="4819" w:leader="none"/>
        <w:tab w:val="right" w:pos="9638" w:leader="none"/>
      </w:tabs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73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2da3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rsid w:val="00581b85"/>
    <w:rPr>
      <w:sz w:val="20"/>
      <w:szCs w:val="20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42e88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94bd0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qFormat/>
    <w:rsid w:val="00a94bd0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styleId="Uiprovider" w:customStyle="1">
    <w:name w:val="ui-provider"/>
    <w:basedOn w:val="DefaultParagraphFont"/>
    <w:qFormat/>
    <w:rsid w:val="00c7435b"/>
    <w:rPr/>
  </w:style>
  <w:style w:type="character" w:styleId="NumeroelencoCarattere" w:customStyle="1">
    <w:name w:val="Numero elenco Carattere"/>
    <w:link w:val="Numeroelenco"/>
    <w:qFormat/>
    <w:rsid w:val="00522a93"/>
    <w:rPr>
      <w:rFonts w:ascii="Trebuchet MS" w:hAnsi="Trebuchet MS" w:eastAsia="Times New Roman" w:cs="Times New Roman"/>
      <w:kern w:val="2"/>
      <w:sz w:val="20"/>
      <w:szCs w:val="24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003f30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003f30"/>
    <w:rPr/>
  </w:style>
  <w:style w:type="character" w:styleId="Caratterinotaapidipagina" w:customStyle="1">
    <w:name w:val="Caratteri nota a piè di pagina"/>
    <w:qFormat/>
    <w:rPr/>
  </w:style>
  <w:style w:type="character" w:styleId="Numerazionerighe" w:customStyle="1">
    <w:name w:val="Numerazione righe"/>
    <w:rPr/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character" w:styleId="Hyperlink5" w:customStyle="1">
    <w:name w:val="Hyperlink.5"/>
    <w:qFormat/>
    <w:rsid w:val="00830577"/>
    <w:rPr/>
  </w:style>
  <w:style w:type="character" w:styleId="CollegamentoInternet">
    <w:name w:val="Collegamento Internet"/>
    <w:basedOn w:val="DefaultParagraphFont"/>
    <w:uiPriority w:val="99"/>
    <w:unhideWhenUsed/>
    <w:rsid w:val="0072392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22da3"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581b8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77ed5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TestocommentoCarattere"/>
    <w:uiPriority w:val="99"/>
    <w:unhideWhenUsed/>
    <w:qFormat/>
    <w:rsid w:val="00a94bd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a94bd0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94bd0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011f9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it-IT" w:eastAsia="en-US" w:bidi="ar-SA"/>
    </w:rPr>
  </w:style>
  <w:style w:type="paragraph" w:styleId="ListNumber">
    <w:name w:val="List Number"/>
    <w:basedOn w:val="Normal"/>
    <w:link w:val="NumeroelencoCarattere"/>
    <w:qFormat/>
    <w:rsid w:val="00522a93"/>
    <w:pPr>
      <w:widowControl w:val="false"/>
      <w:spacing w:lineRule="exact" w:line="300"/>
      <w:jc w:val="both"/>
    </w:pPr>
    <w:rPr>
      <w:rFonts w:ascii="Trebuchet MS" w:hAnsi="Trebuchet MS"/>
      <w:kern w:val="2"/>
      <w:sz w:val="20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003f30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003f30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83057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it-IT" w:eastAsia="en-US" w:bidi="ar-SA"/>
    </w:rPr>
  </w:style>
  <w:style w:type="paragraph" w:styleId="Standard" w:customStyle="1">
    <w:name w:val="Standard"/>
    <w:qFormat/>
    <w:rsid w:val="0083057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2"/>
      <w:sz w:val="24"/>
      <w:szCs w:val="24"/>
      <w:u w:val="none" w:color="000000"/>
      <w:lang w:val="it-IT" w:eastAsia="it-IT" w:bidi="ar-SA"/>
    </w:rPr>
  </w:style>
  <w:style w:type="paragraph" w:styleId="NormalWeb">
    <w:name w:val="Normal (Web)"/>
    <w:basedOn w:val="Normal"/>
    <w:uiPriority w:val="99"/>
    <w:unhideWhenUsed/>
    <w:qFormat/>
    <w:rsid w:val="00a41823"/>
    <w:pPr>
      <w:spacing w:beforeAutospacing="1" w:afterAutospacing="1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831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rsid w:val="00830577"/>
    <w:rPr>
      <w:lang w:eastAsia="it-IT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5B0-4A65-4E25-844B-7FC0E7E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LibreOffice/6.4.7.2$Windows_X86_64 LibreOffice_project/639b8ac485750d5696d7590a72ef1b496725cfb5</Application>
  <Pages>2</Pages>
  <Words>232</Words>
  <Characters>1440</Characters>
  <CharactersWithSpaces>1851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Labbadia Alessia</dc:creator>
  <dc:description/>
  <dc:language>it-IT</dc:language>
  <cp:lastModifiedBy/>
  <dcterms:modified xsi:type="dcterms:W3CDTF">2025-01-22T14:35:07Z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