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14394" w:rsidRDefault="00000000">
      <w:pPr>
        <w:pStyle w:val="Standard"/>
        <w:pBdr>
          <w:top w:val="single" w:sz="4" w:space="0" w:color="000000"/>
          <w:left w:val="single" w:sz="4" w:space="0" w:color="000000"/>
          <w:bottom w:val="single" w:sz="4" w:space="0" w:color="000000"/>
          <w:right w:val="single" w:sz="4" w:space="0" w:color="000000"/>
        </w:pBdr>
        <w:jc w:val="center"/>
        <w:rPr>
          <w:rFonts w:ascii="Arial" w:eastAsia="Arial" w:hAnsi="Arial" w:cs="Arial"/>
          <w:sz w:val="22"/>
          <w:szCs w:val="22"/>
        </w:rPr>
      </w:pPr>
      <w:r>
        <w:rPr>
          <w:rFonts w:ascii="Arial" w:hAnsi="Arial"/>
          <w:b/>
          <w:bCs/>
          <w:sz w:val="22"/>
          <w:szCs w:val="22"/>
        </w:rPr>
        <w:t xml:space="preserve">PROCEDURA NEGOZIATA, SENZA PREVIA PUBBLICAZIONE DI UN BANDO, </w:t>
      </w:r>
      <w:r>
        <w:rPr>
          <w:rFonts w:ascii="Arial" w:eastAsia="Arial" w:hAnsi="Arial" w:cs="Arial"/>
          <w:b/>
          <w:bCs/>
          <w:sz w:val="22"/>
          <w:szCs w:val="22"/>
        </w:rPr>
        <w:br/>
      </w:r>
      <w:r>
        <w:rPr>
          <w:rFonts w:ascii="Arial" w:hAnsi="Arial"/>
          <w:b/>
          <w:bCs/>
          <w:sz w:val="22"/>
          <w:szCs w:val="22"/>
        </w:rPr>
        <w:t>PER L’AFFIDAMENTO DI SERVIZI DI IMPORTO PARI O SUPERIORE A € 140.000,00</w:t>
      </w:r>
      <w:r>
        <w:rPr>
          <w:rFonts w:ascii="Arial" w:eastAsia="Arial" w:hAnsi="Arial" w:cs="Arial"/>
          <w:b/>
          <w:bCs/>
          <w:sz w:val="22"/>
          <w:szCs w:val="22"/>
        </w:rPr>
        <w:br/>
      </w:r>
      <w:r>
        <w:rPr>
          <w:rFonts w:ascii="Arial" w:hAnsi="Arial"/>
          <w:b/>
          <w:bCs/>
          <w:sz w:val="22"/>
          <w:szCs w:val="22"/>
        </w:rPr>
        <w:t>E INFERIORE ALLA SOGLIA DI RILEVANZA EUROPEA DI CUI</w:t>
      </w:r>
      <w:r>
        <w:rPr>
          <w:rFonts w:ascii="Arial" w:eastAsia="Arial" w:hAnsi="Arial" w:cs="Arial"/>
          <w:b/>
          <w:bCs/>
          <w:sz w:val="22"/>
          <w:szCs w:val="22"/>
        </w:rPr>
        <w:br/>
      </w:r>
      <w:r>
        <w:rPr>
          <w:rFonts w:ascii="Arial" w:hAnsi="Arial"/>
          <w:b/>
          <w:bCs/>
          <w:sz w:val="22"/>
          <w:szCs w:val="22"/>
        </w:rPr>
        <w:t xml:space="preserve">ALL’ART. 14 DEL </w:t>
      </w:r>
      <w:r>
        <w:rPr>
          <w:rFonts w:ascii="Arial" w:hAnsi="Arial"/>
          <w:b/>
          <w:bCs/>
          <w:sz w:val="22"/>
          <w:szCs w:val="22"/>
          <w:u w:val="single"/>
        </w:rPr>
        <w:t>D.LGS. N. 36/2023</w:t>
      </w:r>
    </w:p>
    <w:p w:rsidR="00D57B1D" w:rsidRDefault="00000000">
      <w:pPr>
        <w:pStyle w:val="Standard"/>
        <w:jc w:val="center"/>
        <w:rPr>
          <w:rFonts w:ascii="Arial" w:hAnsi="Arial"/>
          <w:b/>
          <w:bCs/>
          <w:sz w:val="20"/>
          <w:szCs w:val="20"/>
        </w:rPr>
      </w:pPr>
      <w:r>
        <w:rPr>
          <w:rFonts w:ascii="Arial" w:eastAsia="Arial" w:hAnsi="Arial" w:cs="Arial"/>
          <w:b/>
          <w:bCs/>
          <w:sz w:val="22"/>
          <w:szCs w:val="22"/>
        </w:rPr>
        <w:br/>
      </w:r>
      <w:r w:rsidR="00D57B1D">
        <w:rPr>
          <w:rFonts w:eastAsia="Times New Roman" w:cs="Times New Roman"/>
          <w:noProof/>
          <w14:ligatures w14:val="standardContextual"/>
        </w:rPr>
        <w:drawing>
          <wp:inline distT="0" distB="0" distL="0" distR="0" wp14:anchorId="580A1B1C" wp14:editId="16BEDCD0">
            <wp:extent cx="6116320" cy="599701"/>
            <wp:effectExtent l="0" t="0" r="0" b="0"/>
            <wp:docPr id="8532777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6320" cy="599701"/>
                    </a:xfrm>
                    <a:prstGeom prst="rect">
                      <a:avLst/>
                    </a:prstGeom>
                  </pic:spPr>
                </pic:pic>
              </a:graphicData>
            </a:graphic>
          </wp:inline>
        </w:drawing>
      </w:r>
    </w:p>
    <w:p w:rsidR="00D57B1D" w:rsidRDefault="00D57B1D">
      <w:pPr>
        <w:pStyle w:val="Standard"/>
        <w:jc w:val="center"/>
        <w:rPr>
          <w:rFonts w:ascii="Arial" w:hAnsi="Arial"/>
          <w:b/>
          <w:bCs/>
          <w:sz w:val="20"/>
          <w:szCs w:val="20"/>
        </w:rPr>
      </w:pPr>
    </w:p>
    <w:p w:rsidR="00914394" w:rsidRDefault="00000000">
      <w:pPr>
        <w:pStyle w:val="Standard"/>
        <w:jc w:val="center"/>
        <w:rPr>
          <w:rFonts w:ascii="Arial" w:eastAsia="Arial" w:hAnsi="Arial" w:cs="Arial"/>
          <w:b/>
          <w:bCs/>
          <w:sz w:val="20"/>
          <w:szCs w:val="20"/>
        </w:rPr>
      </w:pPr>
      <w:r>
        <w:rPr>
          <w:rFonts w:ascii="Arial" w:hAnsi="Arial"/>
          <w:b/>
          <w:bCs/>
          <w:sz w:val="20"/>
          <w:szCs w:val="20"/>
        </w:rPr>
        <w:t>DISCIPLINARE DELLA PROCEDURA NEGOZIATA</w:t>
      </w:r>
    </w:p>
    <w:p w:rsidR="00914394" w:rsidRDefault="00914394">
      <w:pPr>
        <w:pStyle w:val="Standard"/>
        <w:jc w:val="center"/>
        <w:rPr>
          <w:rFonts w:ascii="Arial" w:eastAsia="Arial" w:hAnsi="Arial" w:cs="Arial"/>
          <w:b/>
          <w:bCs/>
          <w:sz w:val="22"/>
          <w:szCs w:val="22"/>
        </w:rPr>
      </w:pPr>
    </w:p>
    <w:p w:rsidR="00914394" w:rsidRDefault="00914394">
      <w:pPr>
        <w:pStyle w:val="Standard"/>
        <w:jc w:val="center"/>
        <w:rPr>
          <w:rFonts w:ascii="Arial" w:eastAsia="Arial" w:hAnsi="Arial" w:cs="Arial"/>
          <w:sz w:val="22"/>
          <w:szCs w:val="22"/>
        </w:rPr>
      </w:pPr>
    </w:p>
    <w:p w:rsidR="00914394" w:rsidRDefault="00914394">
      <w:pPr>
        <w:pStyle w:val="Standard"/>
        <w:jc w:val="center"/>
        <w:rPr>
          <w:rFonts w:ascii="Arial" w:eastAsia="Arial" w:hAnsi="Arial" w:cs="Arial"/>
          <w:b/>
          <w:bCs/>
          <w:i/>
          <w:iCs/>
          <w:color w:val="FF0000"/>
          <w:sz w:val="22"/>
          <w:szCs w:val="22"/>
          <w:u w:color="FF0000"/>
        </w:rPr>
      </w:pPr>
    </w:p>
    <w:p w:rsidR="00914394" w:rsidRDefault="00000000">
      <w:pPr>
        <w:pStyle w:val="Standard"/>
        <w:tabs>
          <w:tab w:val="right" w:leader="underscore" w:pos="8222"/>
        </w:tabs>
        <w:jc w:val="center"/>
        <w:rPr>
          <w:rFonts w:ascii="Arial" w:eastAsia="Arial" w:hAnsi="Arial" w:cs="Arial"/>
          <w:b/>
          <w:bCs/>
          <w:sz w:val="22"/>
          <w:szCs w:val="22"/>
        </w:rPr>
      </w:pPr>
      <w:r>
        <w:rPr>
          <w:rFonts w:ascii="Arial" w:hAnsi="Arial"/>
          <w:b/>
          <w:bCs/>
          <w:sz w:val="22"/>
          <w:szCs w:val="22"/>
        </w:rPr>
        <w:t>LIBERO CONSORZIO COMUNALE DI SIRACUSA</w:t>
      </w:r>
    </w:p>
    <w:p w:rsidR="00D45540" w:rsidRDefault="00D45540">
      <w:pPr>
        <w:pStyle w:val="Standard"/>
        <w:tabs>
          <w:tab w:val="right" w:leader="underscore" w:pos="8222"/>
        </w:tabs>
        <w:jc w:val="center"/>
        <w:rPr>
          <w:rFonts w:ascii="Arial" w:hAnsi="Arial"/>
          <w:b/>
          <w:bCs/>
          <w:sz w:val="22"/>
          <w:szCs w:val="22"/>
        </w:rPr>
      </w:pPr>
    </w:p>
    <w:p w:rsidR="00914394" w:rsidRDefault="00000000">
      <w:pPr>
        <w:pStyle w:val="Standard"/>
        <w:tabs>
          <w:tab w:val="right" w:leader="underscore" w:pos="8222"/>
        </w:tabs>
        <w:jc w:val="center"/>
        <w:rPr>
          <w:rFonts w:ascii="Arial" w:eastAsia="Arial" w:hAnsi="Arial" w:cs="Arial"/>
          <w:b/>
          <w:bCs/>
          <w:sz w:val="22"/>
          <w:szCs w:val="22"/>
        </w:rPr>
      </w:pPr>
      <w:r>
        <w:rPr>
          <w:rFonts w:ascii="Arial" w:hAnsi="Arial"/>
          <w:b/>
          <w:bCs/>
          <w:sz w:val="22"/>
          <w:szCs w:val="22"/>
        </w:rPr>
        <w:t>I.T.S. Academy Fondazione Archimede</w:t>
      </w:r>
    </w:p>
    <w:p w:rsidR="00914394" w:rsidRDefault="00914394">
      <w:pPr>
        <w:pStyle w:val="Standard"/>
        <w:tabs>
          <w:tab w:val="right" w:leader="underscore" w:pos="8222"/>
        </w:tabs>
        <w:jc w:val="center"/>
        <w:rPr>
          <w:rFonts w:ascii="Arial" w:eastAsia="Arial" w:hAnsi="Arial" w:cs="Arial"/>
          <w:b/>
          <w:bCs/>
          <w:i/>
          <w:iCs/>
          <w:sz w:val="22"/>
          <w:szCs w:val="22"/>
        </w:rPr>
      </w:pPr>
    </w:p>
    <w:p w:rsidR="00914394" w:rsidRDefault="00000000">
      <w:pPr>
        <w:jc w:val="center"/>
      </w:pPr>
      <w:r>
        <w:rPr>
          <w:rStyle w:val="Hyperlink5"/>
          <w:noProof/>
        </w:rPr>
        <w:drawing>
          <wp:inline distT="0" distB="0" distL="0" distR="0">
            <wp:extent cx="3873864" cy="843788"/>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8"/>
                    <a:stretch>
                      <a:fillRect/>
                    </a:stretch>
                  </pic:blipFill>
                  <pic:spPr>
                    <a:xfrm>
                      <a:off x="0" y="0"/>
                      <a:ext cx="3873864" cy="843788"/>
                    </a:xfrm>
                    <a:prstGeom prst="rect">
                      <a:avLst/>
                    </a:prstGeom>
                    <a:ln w="12700" cap="flat">
                      <a:noFill/>
                      <a:miter lim="400000"/>
                    </a:ln>
                    <a:effectLst/>
                  </pic:spPr>
                </pic:pic>
              </a:graphicData>
            </a:graphic>
          </wp:inline>
        </w:drawing>
      </w:r>
    </w:p>
    <w:p w:rsidR="00D57B1D" w:rsidRPr="00047836" w:rsidRDefault="00D57B1D" w:rsidP="00D57B1D">
      <w:pPr>
        <w:pStyle w:val="Defaul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1932215" cy="1122910"/>
            <wp:effectExtent l="0" t="0" r="0" b="0"/>
            <wp:docPr id="1155271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71688" name="Immagine 1155271688"/>
                    <pic:cNvPicPr/>
                  </pic:nvPicPr>
                  <pic:blipFill>
                    <a:blip r:embed="rId9">
                      <a:extLst>
                        <a:ext uri="{28A0092B-C50C-407E-A947-70E740481C1C}">
                          <a14:useLocalDpi xmlns:a14="http://schemas.microsoft.com/office/drawing/2010/main" val="0"/>
                        </a:ext>
                      </a:extLst>
                    </a:blip>
                    <a:stretch>
                      <a:fillRect/>
                    </a:stretch>
                  </pic:blipFill>
                  <pic:spPr>
                    <a:xfrm>
                      <a:off x="0" y="0"/>
                      <a:ext cx="1949519" cy="1132966"/>
                    </a:xfrm>
                    <a:prstGeom prst="rect">
                      <a:avLst/>
                    </a:prstGeom>
                  </pic:spPr>
                </pic:pic>
              </a:graphicData>
            </a:graphic>
          </wp:inline>
        </w:drawing>
      </w:r>
    </w:p>
    <w:p w:rsidR="00914394" w:rsidRDefault="00914394" w:rsidP="00D57B1D">
      <w:pPr>
        <w:pStyle w:val="Standard"/>
        <w:tabs>
          <w:tab w:val="right" w:leader="underscore" w:pos="8222"/>
        </w:tabs>
        <w:rPr>
          <w:rFonts w:ascii="Arial" w:eastAsia="Arial" w:hAnsi="Arial" w:cs="Arial"/>
          <w:sz w:val="22"/>
          <w:szCs w:val="22"/>
        </w:rPr>
      </w:pPr>
    </w:p>
    <w:p w:rsidR="00914394" w:rsidRDefault="00000000">
      <w:pPr>
        <w:pStyle w:val="Standard"/>
        <w:jc w:val="both"/>
        <w:rPr>
          <w:rFonts w:ascii="Arial" w:eastAsia="Arial" w:hAnsi="Arial" w:cs="Arial"/>
          <w:i/>
          <w:iCs/>
          <w:sz w:val="22"/>
          <w:szCs w:val="22"/>
        </w:rPr>
      </w:pPr>
      <w:r>
        <w:rPr>
          <w:rFonts w:ascii="Arial" w:hAnsi="Arial"/>
          <w:i/>
          <w:iCs/>
          <w:sz w:val="22"/>
          <w:szCs w:val="22"/>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rsidR="00914394" w:rsidRDefault="00000000">
      <w:pPr>
        <w:pStyle w:val="Standard"/>
        <w:ind w:left="1701" w:right="1701"/>
        <w:rPr>
          <w:rFonts w:ascii="Arial" w:eastAsia="Arial" w:hAnsi="Arial" w:cs="Arial"/>
          <w:i/>
          <w:iCs/>
          <w:sz w:val="22"/>
          <w:szCs w:val="22"/>
        </w:rPr>
      </w:pPr>
      <w:r>
        <w:rPr>
          <w:rFonts w:ascii="Arial" w:hAnsi="Arial"/>
          <w:i/>
          <w:iCs/>
          <w:sz w:val="22"/>
          <w:szCs w:val="22"/>
        </w:rPr>
        <w:t>“Finanziato dall’Unione europea – Next Generation EU”</w:t>
      </w:r>
    </w:p>
    <w:p w:rsidR="00914394" w:rsidRDefault="00914394">
      <w:pPr>
        <w:pStyle w:val="Standard"/>
        <w:ind w:left="1701" w:right="1701"/>
        <w:jc w:val="center"/>
        <w:rPr>
          <w:rFonts w:ascii="Arial" w:eastAsia="Arial" w:hAnsi="Arial" w:cs="Arial"/>
          <w:sz w:val="22"/>
          <w:szCs w:val="22"/>
        </w:rPr>
      </w:pPr>
    </w:p>
    <w:p w:rsidR="00914394" w:rsidRDefault="00914394">
      <w:pPr>
        <w:pStyle w:val="Standard"/>
        <w:ind w:left="1701" w:right="1701"/>
        <w:jc w:val="center"/>
        <w:rPr>
          <w:rFonts w:ascii="Arial" w:eastAsia="Arial" w:hAnsi="Arial" w:cs="Arial"/>
          <w:sz w:val="22"/>
          <w:szCs w:val="22"/>
        </w:rPr>
      </w:pPr>
    </w:p>
    <w:tbl>
      <w:tblPr>
        <w:tblStyle w:val="TableNormal"/>
        <w:tblW w:w="96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679"/>
      </w:tblGrid>
      <w:tr w:rsidR="00914394">
        <w:trPr>
          <w:trHeight w:val="753"/>
          <w:jc w:val="center"/>
        </w:trPr>
        <w:tc>
          <w:tcPr>
            <w:tcW w:w="967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14394" w:rsidRDefault="00000000">
            <w:pPr>
              <w:pStyle w:val="Standard"/>
              <w:suppressAutoHyphens/>
              <w:jc w:val="both"/>
              <w:rPr>
                <w:rFonts w:ascii="Arial" w:eastAsia="Arial" w:hAnsi="Arial" w:cs="Arial"/>
                <w:b/>
                <w:bCs/>
                <w:sz w:val="22"/>
                <w:szCs w:val="22"/>
              </w:rPr>
            </w:pPr>
            <w:r>
              <w:rPr>
                <w:rFonts w:ascii="Arial" w:hAnsi="Arial"/>
                <w:sz w:val="22"/>
                <w:szCs w:val="22"/>
              </w:rPr>
              <w:t>OGGETTO:</w:t>
            </w:r>
            <w:r>
              <w:rPr>
                <w:rFonts w:ascii="Arial" w:eastAsia="Arial" w:hAnsi="Arial" w:cs="Arial"/>
                <w:smallCaps/>
                <w:sz w:val="22"/>
                <w:szCs w:val="22"/>
              </w:rPr>
              <w:tab/>
            </w:r>
            <w:r>
              <w:rPr>
                <w:rFonts w:ascii="Arial" w:hAnsi="Arial"/>
                <w:b/>
                <w:bCs/>
                <w:sz w:val="22"/>
                <w:szCs w:val="22"/>
              </w:rPr>
              <w:t>Procedura negoziata per l’affidamento del servizio di orientamento di gruppo nell’ambito della Azione “Potenziamento offerta formativa ITS Academy”</w:t>
            </w:r>
          </w:p>
          <w:p w:rsidR="00914394" w:rsidRDefault="00000000">
            <w:pPr>
              <w:pStyle w:val="Standard"/>
              <w:suppressAutoHyphens/>
              <w:jc w:val="both"/>
            </w:pPr>
            <w:r>
              <w:rPr>
                <w:rFonts w:ascii="Arial" w:eastAsia="Arial" w:hAnsi="Arial" w:cs="Arial"/>
                <w:smallCaps/>
                <w:sz w:val="22"/>
                <w:szCs w:val="22"/>
              </w:rPr>
              <w:tab/>
            </w:r>
            <w:r>
              <w:rPr>
                <w:rFonts w:ascii="Arial" w:hAnsi="Arial"/>
                <w:b/>
                <w:bCs/>
                <w:sz w:val="22"/>
                <w:szCs w:val="22"/>
              </w:rPr>
              <w:t xml:space="preserve">Codice CIG </w:t>
            </w:r>
            <w:r>
              <w:rPr>
                <w:rFonts w:ascii="Arial" w:hAnsi="Arial"/>
                <w:sz w:val="22"/>
                <w:szCs w:val="22"/>
              </w:rPr>
              <w:t xml:space="preserve">________ </w:t>
            </w:r>
            <w:r>
              <w:rPr>
                <w:rFonts w:ascii="Arial" w:hAnsi="Arial"/>
                <w:b/>
                <w:bCs/>
                <w:sz w:val="22"/>
                <w:szCs w:val="22"/>
              </w:rPr>
              <w:t>- Codice CUP H64D23001720006</w:t>
            </w:r>
          </w:p>
        </w:tc>
      </w:tr>
    </w:tbl>
    <w:p w:rsidR="00914394" w:rsidRDefault="00914394">
      <w:pPr>
        <w:pStyle w:val="Standard"/>
        <w:widowControl w:val="0"/>
        <w:jc w:val="center"/>
        <w:rPr>
          <w:rFonts w:ascii="Arial" w:eastAsia="Arial" w:hAnsi="Arial" w:cs="Arial"/>
          <w:sz w:val="22"/>
          <w:szCs w:val="22"/>
        </w:rPr>
      </w:pPr>
    </w:p>
    <w:p w:rsidR="00914394" w:rsidRDefault="00914394">
      <w:pPr>
        <w:pStyle w:val="Standard"/>
        <w:widowControl w:val="0"/>
        <w:jc w:val="center"/>
        <w:rPr>
          <w:rFonts w:ascii="Arial" w:eastAsia="Arial" w:hAnsi="Arial" w:cs="Arial"/>
          <w:sz w:val="22"/>
          <w:szCs w:val="22"/>
        </w:rPr>
      </w:pPr>
    </w:p>
    <w:p w:rsidR="00914394" w:rsidRDefault="00914394">
      <w:pPr>
        <w:pStyle w:val="Standard"/>
        <w:ind w:left="1701" w:right="1701"/>
        <w:jc w:val="center"/>
        <w:rPr>
          <w:rFonts w:ascii="Arial" w:eastAsia="Arial" w:hAnsi="Arial" w:cs="Arial"/>
          <w:sz w:val="22"/>
          <w:szCs w:val="22"/>
        </w:rPr>
      </w:pPr>
    </w:p>
    <w:p w:rsidR="00914394" w:rsidRDefault="00000000">
      <w:pPr>
        <w:pStyle w:val="Standard"/>
        <w:jc w:val="both"/>
        <w:rPr>
          <w:rFonts w:ascii="Arial" w:eastAsia="Arial" w:hAnsi="Arial" w:cs="Arial"/>
          <w:sz w:val="22"/>
          <w:szCs w:val="22"/>
        </w:rPr>
      </w:pPr>
      <w:r>
        <w:rPr>
          <w:rFonts w:ascii="Arial" w:hAnsi="Arial"/>
          <w:sz w:val="22"/>
          <w:szCs w:val="22"/>
        </w:rPr>
        <w:t xml:space="preserve">Procedura: Procedura negoziata senza bando di cui all’art. 50, comma 1 - lettera e),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w:t>
      </w:r>
    </w:p>
    <w:p w:rsidR="00914394" w:rsidRDefault="00000000">
      <w:pPr>
        <w:pStyle w:val="Standard"/>
        <w:jc w:val="both"/>
        <w:rPr>
          <w:rFonts w:ascii="Arial" w:eastAsia="Arial" w:hAnsi="Arial" w:cs="Arial"/>
          <w:sz w:val="22"/>
          <w:szCs w:val="22"/>
        </w:rPr>
      </w:pPr>
      <w:r>
        <w:rPr>
          <w:rFonts w:ascii="Arial" w:hAnsi="Arial"/>
          <w:sz w:val="22"/>
          <w:szCs w:val="22"/>
        </w:rPr>
        <w:t>Criterio di aggiudicazione: Offerta economicamente più vantaggiosa determinata esclusivamente sulla base del miglior punteggio ottenuto nella sola Offerta Tecnica.</w:t>
      </w:r>
    </w:p>
    <w:p w:rsidR="00914394" w:rsidRDefault="00914394">
      <w:pPr>
        <w:pStyle w:val="Standard"/>
        <w:widowControl w:val="0"/>
        <w:ind w:firstLine="567"/>
        <w:jc w:val="both"/>
        <w:rPr>
          <w:rFonts w:ascii="Arial" w:eastAsia="Arial" w:hAnsi="Arial" w:cs="Arial"/>
          <w:b/>
          <w:bCs/>
          <w:i/>
          <w:iCs/>
          <w:sz w:val="22"/>
          <w:szCs w:val="22"/>
        </w:rPr>
      </w:pPr>
    </w:p>
    <w:p w:rsidR="00914394" w:rsidRDefault="00000000">
      <w:pPr>
        <w:widowControl w:val="0"/>
        <w:suppressAutoHyphens/>
      </w:pPr>
      <w:r>
        <w:rPr>
          <w:rFonts w:ascii="Arial Unicode MS" w:eastAsia="Arial Unicode MS" w:hAnsi="Arial Unicode MS" w:cs="Arial Unicode MS"/>
          <w:sz w:val="22"/>
          <w:szCs w:val="22"/>
        </w:rPr>
        <w:br w:type="page"/>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Fonts w:ascii="Arial" w:eastAsia="Arial" w:hAnsi="Arial" w:cs="Arial"/>
          <w:b/>
          <w:bCs/>
          <w:sz w:val="22"/>
          <w:szCs w:val="22"/>
        </w:rPr>
      </w:pPr>
      <w:r>
        <w:rPr>
          <w:rFonts w:ascii="Arial" w:hAnsi="Arial"/>
          <w:b/>
          <w:bCs/>
          <w:sz w:val="22"/>
          <w:szCs w:val="22"/>
        </w:rPr>
        <w:lastRenderedPageBreak/>
        <w:t>PREMESSE</w:t>
      </w:r>
    </w:p>
    <w:p w:rsidR="00914394" w:rsidRDefault="00000000">
      <w:pPr>
        <w:pStyle w:val="Textbody"/>
        <w:tabs>
          <w:tab w:val="left" w:leader="dot" w:pos="3378"/>
        </w:tabs>
        <w:rPr>
          <w:rFonts w:ascii="Arial" w:eastAsia="Arial" w:hAnsi="Arial" w:cs="Arial"/>
          <w:sz w:val="22"/>
          <w:szCs w:val="22"/>
        </w:rPr>
      </w:pPr>
      <w:r>
        <w:rPr>
          <w:rFonts w:ascii="Arial" w:hAnsi="Arial"/>
          <w:sz w:val="22"/>
          <w:szCs w:val="22"/>
        </w:rPr>
        <w:t>Con Determina a contrarre del 29 ottobre 2024 la I.T.S. Academy Fondazione Archimede con sede in Siracusa, via Modica n. 66, C. F. 93064530897 ha deciso di affidare il “servizio di orientamento di gruppo” nell’ambito dell’iniziativa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 Azione “Potenziamento offerta formativa ITS Academy” Codice CUP H64D23001720006</w:t>
      </w:r>
      <w:r>
        <w:rPr>
          <w:rFonts w:ascii="Arial" w:hAnsi="Arial"/>
          <w:b/>
          <w:bCs/>
          <w:sz w:val="22"/>
          <w:szCs w:val="22"/>
        </w:rPr>
        <w:t xml:space="preserve">, </w:t>
      </w:r>
      <w:r>
        <w:rPr>
          <w:rFonts w:ascii="Arial" w:hAnsi="Arial"/>
          <w:sz w:val="22"/>
          <w:szCs w:val="22"/>
        </w:rPr>
        <w:t xml:space="preserve">all’esito della presente procedura negoziata senza bando di cui all’art. 50, comma 1 - lettera e),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w:t>
      </w:r>
    </w:p>
    <w:p w:rsidR="00914394" w:rsidRDefault="00000000">
      <w:pPr>
        <w:pStyle w:val="Textbody"/>
        <w:tabs>
          <w:tab w:val="left" w:leader="dot" w:pos="3378"/>
        </w:tabs>
        <w:rPr>
          <w:rFonts w:ascii="Arial" w:eastAsia="Arial" w:hAnsi="Arial" w:cs="Arial"/>
          <w:sz w:val="22"/>
          <w:szCs w:val="22"/>
        </w:rPr>
      </w:pPr>
      <w:r>
        <w:rPr>
          <w:rFonts w:ascii="Arial" w:hAnsi="Arial"/>
          <w:sz w:val="22"/>
          <w:szCs w:val="22"/>
        </w:rPr>
        <w:t>La presente procedura negoziata viene indetta dal Libero Consorzio Comunale di Siracusa per conto della I.T.S. Academy Fondazione Archimede</w:t>
      </w:r>
      <w:r w:rsidR="00D45540">
        <w:rPr>
          <w:rFonts w:ascii="Arial" w:hAnsi="Arial"/>
          <w:sz w:val="22"/>
          <w:szCs w:val="22"/>
        </w:rPr>
        <w:t xml:space="preserve"> </w:t>
      </w:r>
      <w:r>
        <w:rPr>
          <w:rFonts w:ascii="Arial" w:hAnsi="Arial"/>
          <w:sz w:val="22"/>
          <w:szCs w:val="22"/>
        </w:rPr>
        <w:t xml:space="preserve">in forza di convenzione stipulata in data 24 aprile 2024. </w:t>
      </w:r>
    </w:p>
    <w:p w:rsidR="00914394" w:rsidRDefault="00000000">
      <w:pPr>
        <w:pStyle w:val="Textbody"/>
        <w:rPr>
          <w:rStyle w:val="Nessuno"/>
          <w:rFonts w:ascii="Arial" w:eastAsia="Arial" w:hAnsi="Arial" w:cs="Arial"/>
          <w:sz w:val="22"/>
          <w:szCs w:val="22"/>
        </w:rPr>
      </w:pPr>
      <w:r>
        <w:rPr>
          <w:rFonts w:ascii="Arial" w:hAnsi="Arial"/>
          <w:sz w:val="22"/>
          <w:szCs w:val="22"/>
        </w:rPr>
        <w:t xml:space="preserve">Ai sensi dell’art. 25 e seguenti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la presente procedura negoziata è interamente svolta tramite il sistema informatico per le procedure telematiche di acquisto con la Piattaforma accessibile all’indirizzo </w:t>
      </w:r>
      <w:hyperlink r:id="rId10" w:history="1">
        <w:r w:rsidR="00914394">
          <w:rPr>
            <w:rStyle w:val="Hyperlink0"/>
          </w:rPr>
          <w:t>https://lccsiracusa.tuttogare.it/</w:t>
        </w:r>
      </w:hyperlink>
      <w:r>
        <w:rPr>
          <w:rStyle w:val="Nessuno"/>
          <w:rFonts w:ascii="Arial" w:hAnsi="Arial"/>
          <w:sz w:val="22"/>
          <w:szCs w:val="22"/>
        </w:rPr>
        <w:t>. Tramite il sito si accede alla procedura nonché alla documentazione della procedura negoziata.</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luoghi di svolgimento del servizio di cui alla presente procedura sono:</w:t>
      </w:r>
    </w:p>
    <w:p w:rsidR="00914394" w:rsidRDefault="00000000">
      <w:pPr>
        <w:pStyle w:val="Standard"/>
        <w:numPr>
          <w:ilvl w:val="0"/>
          <w:numId w:val="2"/>
        </w:numPr>
        <w:rPr>
          <w:rFonts w:ascii="Arial" w:hAnsi="Arial"/>
          <w:sz w:val="22"/>
          <w:szCs w:val="22"/>
        </w:rPr>
      </w:pPr>
      <w:r>
        <w:rPr>
          <w:rStyle w:val="Nessuno"/>
          <w:rFonts w:ascii="Arial" w:hAnsi="Arial"/>
          <w:b/>
          <w:bCs/>
          <w:sz w:val="22"/>
          <w:szCs w:val="22"/>
        </w:rPr>
        <w:t>Agrigento</w:t>
      </w:r>
    </w:p>
    <w:p w:rsidR="00914394" w:rsidRDefault="00000000">
      <w:pPr>
        <w:pStyle w:val="Standard"/>
        <w:numPr>
          <w:ilvl w:val="0"/>
          <w:numId w:val="4"/>
        </w:numPr>
        <w:rPr>
          <w:rFonts w:ascii="Arial" w:hAnsi="Arial"/>
          <w:sz w:val="22"/>
          <w:szCs w:val="22"/>
        </w:rPr>
      </w:pPr>
      <w:r>
        <w:rPr>
          <w:rStyle w:val="Hyperlink5"/>
          <w:rFonts w:ascii="Arial" w:hAnsi="Arial"/>
          <w:sz w:val="22"/>
          <w:szCs w:val="22"/>
        </w:rPr>
        <w:t>CODICE ISTAT: 084</w:t>
      </w:r>
    </w:p>
    <w:p w:rsidR="00914394" w:rsidRDefault="00000000">
      <w:pPr>
        <w:pStyle w:val="Standard"/>
        <w:numPr>
          <w:ilvl w:val="0"/>
          <w:numId w:val="4"/>
        </w:numPr>
        <w:rPr>
          <w:rFonts w:ascii="Arial" w:hAnsi="Arial"/>
          <w:sz w:val="22"/>
          <w:szCs w:val="22"/>
        </w:rPr>
      </w:pPr>
      <w:r>
        <w:rPr>
          <w:rStyle w:val="Hyperlink5"/>
          <w:rFonts w:ascii="Arial" w:hAnsi="Arial"/>
          <w:sz w:val="22"/>
          <w:szCs w:val="22"/>
        </w:rPr>
        <w:t>CODICE NUTS: ITG14</w:t>
      </w:r>
    </w:p>
    <w:p w:rsidR="00914394" w:rsidRDefault="00000000">
      <w:pPr>
        <w:pStyle w:val="Standard"/>
        <w:numPr>
          <w:ilvl w:val="0"/>
          <w:numId w:val="5"/>
        </w:numPr>
        <w:rPr>
          <w:rFonts w:ascii="Arial" w:hAnsi="Arial"/>
          <w:sz w:val="22"/>
          <w:szCs w:val="22"/>
        </w:rPr>
      </w:pPr>
      <w:r>
        <w:rPr>
          <w:rStyle w:val="Nessuno"/>
          <w:rFonts w:ascii="Arial" w:hAnsi="Arial"/>
          <w:b/>
          <w:bCs/>
          <w:sz w:val="22"/>
          <w:szCs w:val="22"/>
        </w:rPr>
        <w:t>Catania</w:t>
      </w:r>
    </w:p>
    <w:p w:rsidR="00914394" w:rsidRDefault="00000000">
      <w:pPr>
        <w:pStyle w:val="Standard"/>
        <w:numPr>
          <w:ilvl w:val="0"/>
          <w:numId w:val="7"/>
        </w:numPr>
        <w:rPr>
          <w:rFonts w:ascii="Arial" w:hAnsi="Arial"/>
          <w:sz w:val="22"/>
          <w:szCs w:val="22"/>
        </w:rPr>
      </w:pPr>
      <w:r>
        <w:rPr>
          <w:rStyle w:val="Hyperlink5"/>
          <w:rFonts w:ascii="Arial" w:hAnsi="Arial"/>
          <w:sz w:val="22"/>
          <w:szCs w:val="22"/>
        </w:rPr>
        <w:t>CODICE ISTAT: 087015</w:t>
      </w:r>
    </w:p>
    <w:p w:rsidR="00914394" w:rsidRDefault="00000000">
      <w:pPr>
        <w:pStyle w:val="Standard"/>
        <w:numPr>
          <w:ilvl w:val="0"/>
          <w:numId w:val="7"/>
        </w:numPr>
        <w:rPr>
          <w:rFonts w:ascii="Arial" w:hAnsi="Arial"/>
          <w:sz w:val="22"/>
          <w:szCs w:val="22"/>
        </w:rPr>
      </w:pPr>
      <w:r>
        <w:rPr>
          <w:rStyle w:val="Hyperlink5"/>
          <w:rFonts w:ascii="Arial" w:hAnsi="Arial"/>
          <w:sz w:val="22"/>
          <w:szCs w:val="22"/>
        </w:rPr>
        <w:t>CODICE NUTS: ITG17</w:t>
      </w:r>
    </w:p>
    <w:p w:rsidR="00914394" w:rsidRDefault="00000000">
      <w:pPr>
        <w:pStyle w:val="Standard"/>
        <w:numPr>
          <w:ilvl w:val="0"/>
          <w:numId w:val="8"/>
        </w:numPr>
        <w:rPr>
          <w:rFonts w:ascii="Arial" w:hAnsi="Arial"/>
          <w:sz w:val="22"/>
          <w:szCs w:val="22"/>
        </w:rPr>
      </w:pPr>
      <w:r>
        <w:rPr>
          <w:rStyle w:val="Nessuno"/>
          <w:rFonts w:ascii="Arial" w:hAnsi="Arial"/>
          <w:b/>
          <w:bCs/>
          <w:sz w:val="22"/>
          <w:szCs w:val="22"/>
        </w:rPr>
        <w:t>Enna</w:t>
      </w:r>
    </w:p>
    <w:p w:rsidR="00914394" w:rsidRDefault="00000000">
      <w:pPr>
        <w:pStyle w:val="Standard"/>
        <w:numPr>
          <w:ilvl w:val="0"/>
          <w:numId w:val="10"/>
        </w:numPr>
        <w:rPr>
          <w:rFonts w:ascii="Arial" w:hAnsi="Arial"/>
          <w:sz w:val="22"/>
          <w:szCs w:val="22"/>
        </w:rPr>
      </w:pPr>
      <w:r>
        <w:rPr>
          <w:rStyle w:val="Hyperlink5"/>
          <w:rFonts w:ascii="Arial" w:hAnsi="Arial"/>
          <w:sz w:val="22"/>
          <w:szCs w:val="22"/>
        </w:rPr>
        <w:t>CODICE ISTAT: 086</w:t>
      </w:r>
    </w:p>
    <w:p w:rsidR="00914394" w:rsidRDefault="00000000">
      <w:pPr>
        <w:pStyle w:val="Standard"/>
        <w:numPr>
          <w:ilvl w:val="0"/>
          <w:numId w:val="10"/>
        </w:numPr>
        <w:rPr>
          <w:rFonts w:ascii="Arial" w:hAnsi="Arial"/>
          <w:sz w:val="22"/>
          <w:szCs w:val="22"/>
        </w:rPr>
      </w:pPr>
      <w:r>
        <w:rPr>
          <w:rStyle w:val="Hyperlink5"/>
          <w:rFonts w:ascii="Arial" w:hAnsi="Arial"/>
          <w:sz w:val="22"/>
          <w:szCs w:val="22"/>
        </w:rPr>
        <w:t>CODICE NUTS: ITG16</w:t>
      </w:r>
    </w:p>
    <w:p w:rsidR="00914394" w:rsidRDefault="00000000">
      <w:pPr>
        <w:pStyle w:val="Standard"/>
        <w:numPr>
          <w:ilvl w:val="0"/>
          <w:numId w:val="11"/>
        </w:numPr>
        <w:rPr>
          <w:rFonts w:ascii="Arial" w:hAnsi="Arial"/>
          <w:sz w:val="22"/>
          <w:szCs w:val="22"/>
        </w:rPr>
      </w:pPr>
      <w:r>
        <w:rPr>
          <w:rStyle w:val="Nessuno"/>
          <w:rFonts w:ascii="Arial" w:hAnsi="Arial"/>
          <w:b/>
          <w:bCs/>
          <w:sz w:val="22"/>
          <w:szCs w:val="22"/>
        </w:rPr>
        <w:t>Messina</w:t>
      </w:r>
    </w:p>
    <w:p w:rsidR="00914394" w:rsidRDefault="00000000">
      <w:pPr>
        <w:pStyle w:val="Standard"/>
        <w:numPr>
          <w:ilvl w:val="0"/>
          <w:numId w:val="13"/>
        </w:numPr>
        <w:rPr>
          <w:rFonts w:ascii="Arial" w:hAnsi="Arial"/>
          <w:sz w:val="22"/>
          <w:szCs w:val="22"/>
        </w:rPr>
      </w:pPr>
      <w:r>
        <w:rPr>
          <w:rStyle w:val="Hyperlink5"/>
          <w:rFonts w:ascii="Arial" w:hAnsi="Arial"/>
          <w:sz w:val="22"/>
          <w:szCs w:val="22"/>
        </w:rPr>
        <w:t>CODICE ISTAT: 083</w:t>
      </w:r>
    </w:p>
    <w:p w:rsidR="00914394" w:rsidRDefault="00000000">
      <w:pPr>
        <w:pStyle w:val="Standard"/>
        <w:numPr>
          <w:ilvl w:val="0"/>
          <w:numId w:val="13"/>
        </w:numPr>
        <w:rPr>
          <w:rFonts w:ascii="Arial" w:hAnsi="Arial"/>
          <w:sz w:val="22"/>
          <w:szCs w:val="22"/>
        </w:rPr>
      </w:pPr>
      <w:r>
        <w:rPr>
          <w:rStyle w:val="Hyperlink5"/>
          <w:rFonts w:ascii="Arial" w:hAnsi="Arial"/>
          <w:sz w:val="22"/>
          <w:szCs w:val="22"/>
        </w:rPr>
        <w:t>CODICE NUTS: ITG13</w:t>
      </w:r>
    </w:p>
    <w:p w:rsidR="00914394" w:rsidRDefault="00000000">
      <w:pPr>
        <w:pStyle w:val="Standard"/>
        <w:numPr>
          <w:ilvl w:val="0"/>
          <w:numId w:val="14"/>
        </w:numPr>
        <w:rPr>
          <w:rFonts w:ascii="Arial" w:hAnsi="Arial"/>
          <w:sz w:val="22"/>
          <w:szCs w:val="22"/>
        </w:rPr>
      </w:pPr>
      <w:r>
        <w:rPr>
          <w:rStyle w:val="Nessuno"/>
          <w:rFonts w:ascii="Arial" w:hAnsi="Arial"/>
          <w:b/>
          <w:bCs/>
          <w:sz w:val="22"/>
          <w:szCs w:val="22"/>
        </w:rPr>
        <w:t>Palermo</w:t>
      </w:r>
    </w:p>
    <w:p w:rsidR="00914394" w:rsidRDefault="00000000">
      <w:pPr>
        <w:pStyle w:val="Standard"/>
        <w:numPr>
          <w:ilvl w:val="0"/>
          <w:numId w:val="16"/>
        </w:numPr>
        <w:rPr>
          <w:rFonts w:ascii="Arial" w:hAnsi="Arial"/>
          <w:sz w:val="22"/>
          <w:szCs w:val="22"/>
        </w:rPr>
      </w:pPr>
      <w:r>
        <w:rPr>
          <w:rStyle w:val="Hyperlink5"/>
          <w:rFonts w:ascii="Arial" w:hAnsi="Arial"/>
          <w:sz w:val="22"/>
          <w:szCs w:val="22"/>
        </w:rPr>
        <w:t>CODICE ISTAT: 082</w:t>
      </w:r>
    </w:p>
    <w:p w:rsidR="00914394" w:rsidRDefault="00000000">
      <w:pPr>
        <w:pStyle w:val="Standard"/>
        <w:numPr>
          <w:ilvl w:val="0"/>
          <w:numId w:val="16"/>
        </w:numPr>
        <w:rPr>
          <w:rFonts w:ascii="Arial" w:hAnsi="Arial"/>
          <w:sz w:val="22"/>
          <w:szCs w:val="22"/>
        </w:rPr>
      </w:pPr>
      <w:r>
        <w:rPr>
          <w:rStyle w:val="Hyperlink5"/>
          <w:rFonts w:ascii="Arial" w:hAnsi="Arial"/>
          <w:sz w:val="22"/>
          <w:szCs w:val="22"/>
        </w:rPr>
        <w:t>CODICE NUTS: ITG12</w:t>
      </w:r>
    </w:p>
    <w:p w:rsidR="00914394" w:rsidRDefault="00000000">
      <w:pPr>
        <w:pStyle w:val="Standard"/>
        <w:numPr>
          <w:ilvl w:val="0"/>
          <w:numId w:val="17"/>
        </w:numPr>
        <w:rPr>
          <w:rFonts w:ascii="Arial" w:hAnsi="Arial"/>
          <w:sz w:val="22"/>
          <w:szCs w:val="22"/>
        </w:rPr>
      </w:pPr>
      <w:r>
        <w:rPr>
          <w:rStyle w:val="Nessuno"/>
          <w:rFonts w:ascii="Arial" w:hAnsi="Arial"/>
          <w:b/>
          <w:bCs/>
          <w:sz w:val="22"/>
          <w:szCs w:val="22"/>
        </w:rPr>
        <w:t>Ragusa</w:t>
      </w:r>
    </w:p>
    <w:p w:rsidR="00914394" w:rsidRDefault="00000000">
      <w:pPr>
        <w:pStyle w:val="Standard"/>
        <w:numPr>
          <w:ilvl w:val="0"/>
          <w:numId w:val="19"/>
        </w:numPr>
        <w:rPr>
          <w:rFonts w:ascii="Arial" w:hAnsi="Arial"/>
          <w:sz w:val="22"/>
          <w:szCs w:val="22"/>
        </w:rPr>
      </w:pPr>
      <w:r>
        <w:rPr>
          <w:rStyle w:val="Hyperlink5"/>
          <w:rFonts w:ascii="Arial" w:hAnsi="Arial"/>
          <w:sz w:val="22"/>
          <w:szCs w:val="22"/>
        </w:rPr>
        <w:t>CODICE ISTAT: 088</w:t>
      </w:r>
    </w:p>
    <w:p w:rsidR="00914394" w:rsidRDefault="00000000">
      <w:pPr>
        <w:pStyle w:val="Standard"/>
        <w:numPr>
          <w:ilvl w:val="0"/>
          <w:numId w:val="19"/>
        </w:numPr>
        <w:rPr>
          <w:rFonts w:ascii="Arial" w:hAnsi="Arial"/>
          <w:sz w:val="22"/>
          <w:szCs w:val="22"/>
        </w:rPr>
      </w:pPr>
      <w:r>
        <w:rPr>
          <w:rStyle w:val="Hyperlink5"/>
          <w:rFonts w:ascii="Arial" w:hAnsi="Arial"/>
          <w:sz w:val="22"/>
          <w:szCs w:val="22"/>
        </w:rPr>
        <w:t>CODICE NUTS: ITG18</w:t>
      </w:r>
    </w:p>
    <w:p w:rsidR="00914394" w:rsidRDefault="00000000">
      <w:pPr>
        <w:pStyle w:val="Standard"/>
        <w:numPr>
          <w:ilvl w:val="0"/>
          <w:numId w:val="20"/>
        </w:numPr>
        <w:rPr>
          <w:rFonts w:ascii="Arial" w:hAnsi="Arial"/>
          <w:sz w:val="22"/>
          <w:szCs w:val="22"/>
        </w:rPr>
      </w:pPr>
      <w:r>
        <w:rPr>
          <w:rStyle w:val="Nessuno"/>
          <w:rFonts w:ascii="Arial" w:hAnsi="Arial"/>
          <w:b/>
          <w:bCs/>
          <w:sz w:val="22"/>
          <w:szCs w:val="22"/>
        </w:rPr>
        <w:t>Siracusa</w:t>
      </w:r>
    </w:p>
    <w:p w:rsidR="00914394" w:rsidRDefault="00000000">
      <w:pPr>
        <w:pStyle w:val="Standard"/>
        <w:numPr>
          <w:ilvl w:val="0"/>
          <w:numId w:val="22"/>
        </w:numPr>
        <w:rPr>
          <w:rFonts w:ascii="Arial" w:hAnsi="Arial"/>
          <w:sz w:val="22"/>
          <w:szCs w:val="22"/>
        </w:rPr>
      </w:pPr>
      <w:r>
        <w:rPr>
          <w:rStyle w:val="Hyperlink5"/>
          <w:rFonts w:ascii="Arial" w:hAnsi="Arial"/>
          <w:sz w:val="22"/>
          <w:szCs w:val="22"/>
        </w:rPr>
        <w:t>CODICE ISTAT: 089</w:t>
      </w:r>
    </w:p>
    <w:p w:rsidR="00914394" w:rsidRDefault="00000000">
      <w:pPr>
        <w:pStyle w:val="Standard"/>
        <w:numPr>
          <w:ilvl w:val="0"/>
          <w:numId w:val="22"/>
        </w:numPr>
        <w:rPr>
          <w:rFonts w:ascii="Arial" w:hAnsi="Arial"/>
          <w:sz w:val="22"/>
          <w:szCs w:val="22"/>
        </w:rPr>
      </w:pPr>
      <w:r>
        <w:rPr>
          <w:rStyle w:val="Hyperlink5"/>
          <w:rFonts w:ascii="Arial" w:hAnsi="Arial"/>
          <w:sz w:val="22"/>
          <w:szCs w:val="22"/>
        </w:rPr>
        <w:t>CODICE NUTS: ITG19</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procedura è altresì individuata dai seguenti codici:</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CIG: _______</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CUP: H64D23001720006</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 xml:space="preserve">CPV: </w:t>
      </w:r>
      <w:r>
        <w:rPr>
          <w:rStyle w:val="Nessuno"/>
          <w:rFonts w:ascii="Aptos" w:eastAsia="Aptos" w:hAnsi="Aptos" w:cs="Aptos"/>
        </w:rPr>
        <w:t>80310000-0: Servizi di orientamento scolastico</w:t>
      </w:r>
    </w:p>
    <w:p w:rsidR="00914394" w:rsidRDefault="00914394">
      <w:pPr>
        <w:pStyle w:val="Standard"/>
        <w:widowControl w:val="0"/>
        <w:jc w:val="both"/>
        <w:rPr>
          <w:rStyle w:val="Nessuno"/>
          <w:rFonts w:ascii="Arial" w:eastAsia="Arial" w:hAnsi="Arial" w:cs="Arial"/>
          <w:sz w:val="22"/>
          <w:szCs w:val="22"/>
        </w:rPr>
      </w:pPr>
    </w:p>
    <w:p w:rsidR="00914394" w:rsidRDefault="00000000">
      <w:pPr>
        <w:pStyle w:val="Textbody"/>
        <w:tabs>
          <w:tab w:val="left" w:leader="dot" w:pos="3378"/>
        </w:tabs>
        <w:rPr>
          <w:rStyle w:val="Nessuno"/>
          <w:rFonts w:ascii="Arial" w:eastAsia="Arial" w:hAnsi="Arial" w:cs="Arial"/>
          <w:sz w:val="22"/>
          <w:szCs w:val="22"/>
        </w:rPr>
      </w:pPr>
      <w:r>
        <w:rPr>
          <w:rStyle w:val="Nessuno"/>
          <w:rFonts w:ascii="Arial" w:hAnsi="Arial"/>
          <w:sz w:val="22"/>
          <w:szCs w:val="22"/>
        </w:rPr>
        <w:t xml:space="preserve">Il </w:t>
      </w:r>
      <w:r>
        <w:rPr>
          <w:rStyle w:val="Nessuno"/>
          <w:rFonts w:ascii="Arial" w:hAnsi="Arial"/>
          <w:b/>
          <w:bCs/>
          <w:sz w:val="22"/>
          <w:szCs w:val="22"/>
        </w:rPr>
        <w:t>Responsabile Unico del Progetto</w:t>
      </w:r>
      <w:r>
        <w:rPr>
          <w:rStyle w:val="Nessuno"/>
          <w:rFonts w:ascii="Arial" w:hAnsi="Arial"/>
          <w:sz w:val="22"/>
          <w:szCs w:val="22"/>
        </w:rPr>
        <w:t xml:space="preserve"> è il Dott. Giovanni Dimauro</w:t>
      </w:r>
    </w:p>
    <w:p w:rsidR="00914394" w:rsidRDefault="00000000">
      <w:pPr>
        <w:pStyle w:val="Textbody"/>
        <w:numPr>
          <w:ilvl w:val="0"/>
          <w:numId w:val="26"/>
        </w:numPr>
        <w:rPr>
          <w:rFonts w:ascii="Arial" w:hAnsi="Arial"/>
          <w:sz w:val="22"/>
          <w:szCs w:val="22"/>
        </w:rPr>
      </w:pPr>
      <w:r>
        <w:rPr>
          <w:rStyle w:val="Hyperlink5"/>
          <w:rFonts w:ascii="Arial" w:hAnsi="Arial"/>
          <w:sz w:val="22"/>
          <w:szCs w:val="22"/>
        </w:rPr>
        <w:t xml:space="preserve">Sede: Via Modica, 66, 96100 Siracusa; </w:t>
      </w:r>
    </w:p>
    <w:p w:rsidR="00914394" w:rsidRDefault="00000000">
      <w:pPr>
        <w:pStyle w:val="Textbody"/>
        <w:numPr>
          <w:ilvl w:val="0"/>
          <w:numId w:val="26"/>
        </w:numPr>
        <w:rPr>
          <w:rFonts w:ascii="Arial" w:hAnsi="Arial"/>
          <w:sz w:val="22"/>
          <w:szCs w:val="22"/>
        </w:rPr>
      </w:pPr>
      <w:r>
        <w:rPr>
          <w:rStyle w:val="Hyperlink5"/>
          <w:rFonts w:ascii="Arial" w:hAnsi="Arial"/>
          <w:sz w:val="22"/>
          <w:szCs w:val="22"/>
        </w:rPr>
        <w:t>telefono 0931/1843739,</w:t>
      </w:r>
    </w:p>
    <w:p w:rsidR="00914394" w:rsidRDefault="00000000">
      <w:pPr>
        <w:pStyle w:val="Standard"/>
        <w:numPr>
          <w:ilvl w:val="0"/>
          <w:numId w:val="27"/>
        </w:numPr>
        <w:rPr>
          <w:rFonts w:ascii="Arial" w:hAnsi="Arial"/>
          <w:sz w:val="22"/>
          <w:szCs w:val="22"/>
        </w:rPr>
      </w:pPr>
      <w:r>
        <w:rPr>
          <w:rStyle w:val="Hyperlink5"/>
          <w:rFonts w:ascii="Arial" w:hAnsi="Arial"/>
          <w:sz w:val="22"/>
          <w:szCs w:val="22"/>
        </w:rPr>
        <w:t xml:space="preserve">Posta elettronica: </w:t>
      </w:r>
      <w:hyperlink r:id="rId11" w:history="1">
        <w:r w:rsidR="00914394">
          <w:rPr>
            <w:rStyle w:val="Hyperlink1"/>
            <w:rFonts w:ascii="Arial" w:hAnsi="Arial"/>
            <w:sz w:val="22"/>
            <w:szCs w:val="22"/>
          </w:rPr>
          <w:t>info@its-fondazionearchimede.it</w:t>
        </w:r>
      </w:hyperlink>
    </w:p>
    <w:p w:rsidR="00914394" w:rsidRDefault="00000000">
      <w:pPr>
        <w:pStyle w:val="Standard"/>
        <w:numPr>
          <w:ilvl w:val="0"/>
          <w:numId w:val="27"/>
        </w:numPr>
        <w:rPr>
          <w:rFonts w:ascii="Arial" w:hAnsi="Arial"/>
          <w:sz w:val="22"/>
          <w:szCs w:val="22"/>
        </w:rPr>
      </w:pPr>
      <w:r>
        <w:rPr>
          <w:rStyle w:val="Hyperlink5"/>
          <w:rFonts w:ascii="Arial" w:hAnsi="Arial"/>
          <w:sz w:val="22"/>
          <w:szCs w:val="22"/>
        </w:rPr>
        <w:t xml:space="preserve">Poste elettronica certificata: </w:t>
      </w:r>
      <w:hyperlink r:id="rId12" w:history="1">
        <w:r w:rsidR="00914394">
          <w:rPr>
            <w:rStyle w:val="Hyperlink1"/>
            <w:rFonts w:ascii="Arial" w:hAnsi="Arial"/>
            <w:sz w:val="22"/>
            <w:szCs w:val="22"/>
          </w:rPr>
          <w:t>itsfondazionearchimede@pec.impresesiracusa.it</w:t>
        </w:r>
      </w:hyperlink>
    </w:p>
    <w:p w:rsidR="00914394" w:rsidRDefault="00914394">
      <w:pPr>
        <w:pStyle w:val="Textbody"/>
        <w:tabs>
          <w:tab w:val="left" w:leader="dot" w:pos="3378"/>
        </w:tabs>
        <w:rPr>
          <w:rStyle w:val="Nessuno"/>
          <w:rFonts w:ascii="Arial" w:eastAsia="Arial" w:hAnsi="Arial" w:cs="Arial"/>
          <w:sz w:val="22"/>
          <w:szCs w:val="22"/>
        </w:rPr>
      </w:pPr>
    </w:p>
    <w:p w:rsidR="00914394" w:rsidRDefault="00000000">
      <w:pPr>
        <w:pStyle w:val="Textbody"/>
        <w:tabs>
          <w:tab w:val="left" w:leader="dot" w:pos="3378"/>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La procedura negoziata sarà espletata presso il VII Settore del Libero Consorzio Comunale di Siracusa, Via Malta, 106 CAP 96100 Posta elettronica </w:t>
      </w:r>
      <w:hyperlink r:id="rId13" w:history="1">
        <w:r w:rsidR="00914394">
          <w:rPr>
            <w:rStyle w:val="Hyperlink2"/>
            <w:shd w:val="clear" w:color="auto" w:fill="FEFFFF"/>
          </w:rPr>
          <w:t>responsabile.settimosettore@provincia.siracusa.it</w:t>
        </w:r>
      </w:hyperlink>
      <w:r>
        <w:rPr>
          <w:rStyle w:val="Nessuno"/>
          <w:rFonts w:ascii="Arial" w:hAnsi="Arial"/>
          <w:sz w:val="22"/>
          <w:szCs w:val="22"/>
          <w:shd w:val="clear" w:color="auto" w:fill="FEFFFF"/>
        </w:rPr>
        <w:t xml:space="preserve"> Poste elettronica certificata: </w:t>
      </w:r>
      <w:hyperlink r:id="rId14" w:history="1">
        <w:r w:rsidR="00914394">
          <w:rPr>
            <w:rStyle w:val="Hyperlink2"/>
            <w:shd w:val="clear" w:color="auto" w:fill="FEFFFF"/>
          </w:rPr>
          <w:t>settimo_settore@pec.provincia.siracusa.it</w:t>
        </w:r>
      </w:hyperlink>
      <w:r>
        <w:rPr>
          <w:rStyle w:val="Nessuno"/>
          <w:rFonts w:ascii="Arial" w:hAnsi="Arial"/>
          <w:sz w:val="22"/>
          <w:szCs w:val="22"/>
          <w:shd w:val="clear" w:color="auto" w:fill="FEFFFF"/>
        </w:rPr>
        <w:t xml:space="preserve"> </w:t>
      </w:r>
    </w:p>
    <w:p w:rsidR="00914394" w:rsidRDefault="00914394">
      <w:pPr>
        <w:pStyle w:val="Standard"/>
        <w:rPr>
          <w:rStyle w:val="Nessuno"/>
          <w:rFonts w:ascii="Arial" w:eastAsia="Arial" w:hAnsi="Arial" w:cs="Arial"/>
          <w:sz w:val="22"/>
          <w:szCs w:val="22"/>
        </w:rPr>
      </w:pPr>
    </w:p>
    <w:p w:rsidR="00914394" w:rsidRDefault="00000000">
      <w:pPr>
        <w:widowControl w:val="0"/>
        <w:suppressAutoHyphens/>
      </w:pPr>
      <w:r>
        <w:rPr>
          <w:rStyle w:val="Nessuno"/>
          <w:rFonts w:ascii="Arial Unicode MS" w:eastAsia="Arial Unicode MS" w:hAnsi="Arial Unicode MS" w:cs="Arial Unicode MS"/>
          <w:sz w:val="22"/>
          <w:szCs w:val="22"/>
        </w:rPr>
        <w:br w:type="page"/>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lastRenderedPageBreak/>
        <w:t>1. PIATTAFORMA TELEMATICA</w:t>
      </w:r>
    </w:p>
    <w:p w:rsidR="00914394" w:rsidRDefault="00000000">
      <w:pPr>
        <w:pStyle w:val="Testocommento"/>
        <w:spacing w:line="240" w:lineRule="auto"/>
        <w:rPr>
          <w:rStyle w:val="Nessuno"/>
          <w:rFonts w:ascii="Arial" w:eastAsia="Arial" w:hAnsi="Arial" w:cs="Arial"/>
          <w:b/>
          <w:bCs/>
          <w:sz w:val="22"/>
          <w:szCs w:val="22"/>
        </w:rPr>
      </w:pPr>
      <w:r>
        <w:rPr>
          <w:rStyle w:val="Nessuno"/>
          <w:rFonts w:ascii="Arial" w:hAnsi="Arial"/>
          <w:b/>
          <w:bCs/>
          <w:sz w:val="22"/>
          <w:szCs w:val="22"/>
        </w:rPr>
        <w:t>1.1 - LA PIATTAFORMA TELEMATICA DI NEGOZIAZIONE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L’utilizzo della Piattaforma accessibile all’indirizzo </w:t>
      </w:r>
      <w:hyperlink r:id="rId15" w:history="1">
        <w:r w:rsidR="00914394">
          <w:rPr>
            <w:rStyle w:val="Hyperlink0"/>
          </w:rPr>
          <w:t>https://lccsiracusa.tuttogare.it/</w:t>
        </w:r>
      </w:hyperlink>
      <w:r>
        <w:rPr>
          <w:rStyle w:val="Nessuno"/>
          <w:rFonts w:ascii="Arial" w:hAnsi="Arial"/>
          <w:sz w:val="22"/>
          <w:szCs w:val="22"/>
        </w:rPr>
        <w:t xml:space="preserve"> comporta l’accettazione tacita ed incondizionata di tutti i termini, le condizioni di utilizzo e le avvertenze contenute nei documenti di gara, in particolare, del Regolamento UE n. 910/2014 (</w:t>
      </w:r>
      <w:r>
        <w:rPr>
          <w:rStyle w:val="Nessuno"/>
          <w:rFonts w:ascii="Arial" w:hAnsi="Arial"/>
          <w:i/>
          <w:iCs/>
          <w:sz w:val="22"/>
          <w:szCs w:val="22"/>
        </w:rPr>
        <w:t xml:space="preserve">di seguito Regolamento eIDAS - </w:t>
      </w:r>
      <w:proofErr w:type="spellStart"/>
      <w:r>
        <w:rPr>
          <w:rStyle w:val="Nessuno"/>
          <w:rFonts w:ascii="Arial" w:hAnsi="Arial"/>
          <w:i/>
          <w:iCs/>
          <w:sz w:val="22"/>
          <w:szCs w:val="22"/>
        </w:rPr>
        <w:t>electronic</w:t>
      </w:r>
      <w:proofErr w:type="spellEnd"/>
      <w:r>
        <w:rPr>
          <w:rStyle w:val="Nessuno"/>
          <w:rFonts w:ascii="Arial" w:hAnsi="Arial"/>
          <w:i/>
          <w:iCs/>
          <w:sz w:val="22"/>
          <w:szCs w:val="22"/>
        </w:rPr>
        <w:t xml:space="preserve"> </w:t>
      </w:r>
      <w:proofErr w:type="spellStart"/>
      <w:r>
        <w:rPr>
          <w:rStyle w:val="Nessuno"/>
          <w:rFonts w:ascii="Arial" w:hAnsi="Arial"/>
          <w:i/>
          <w:iCs/>
          <w:sz w:val="22"/>
          <w:szCs w:val="22"/>
        </w:rPr>
        <w:t>IDentification</w:t>
      </w:r>
      <w:proofErr w:type="spellEnd"/>
      <w:r>
        <w:rPr>
          <w:rStyle w:val="Nessuno"/>
          <w:rFonts w:ascii="Arial" w:hAnsi="Arial"/>
          <w:i/>
          <w:iCs/>
          <w:sz w:val="22"/>
          <w:szCs w:val="22"/>
        </w:rPr>
        <w:t xml:space="preserve"> Authentication and Signature</w:t>
      </w:r>
      <w:r>
        <w:rPr>
          <w:rStyle w:val="Nessuno"/>
          <w:rFonts w:ascii="Arial" w:hAnsi="Arial"/>
          <w:sz w:val="22"/>
          <w:szCs w:val="22"/>
        </w:rPr>
        <w:t xml:space="preserve">), del </w:t>
      </w:r>
      <w:r>
        <w:rPr>
          <w:rStyle w:val="Nessuno"/>
          <w:rFonts w:ascii="Arial" w:hAnsi="Arial"/>
          <w:sz w:val="22"/>
          <w:szCs w:val="22"/>
          <w:u w:val="single"/>
        </w:rPr>
        <w:t>decreto legislativo n. 82/2005</w:t>
      </w:r>
      <w:r>
        <w:rPr>
          <w:rStyle w:val="Nessuno"/>
          <w:rFonts w:ascii="Arial" w:hAnsi="Arial"/>
          <w:sz w:val="22"/>
          <w:szCs w:val="22"/>
        </w:rPr>
        <w:t xml:space="preserve"> recante Codice dell’amministrazione digitale (CAD) e delle Linee guida dell’AGID, nonché di quanto portato a conoscenza degli utenti tramite le comunicazioni sulla Piattaforma.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L’utilizzo della Piattaforma avviene nel rispetto dei principi di autoresponsabilità e di diligenza professionale, secondo quanto previsto dall’articolo 1176, comma 2, del Codice civile.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rsidR="00914394" w:rsidRDefault="00000000">
      <w:pPr>
        <w:pStyle w:val="Paragrafoelenco"/>
        <w:widowControl w:val="0"/>
        <w:numPr>
          <w:ilvl w:val="0"/>
          <w:numId w:val="29"/>
        </w:numPr>
        <w:jc w:val="both"/>
        <w:rPr>
          <w:rFonts w:ascii="Arial" w:hAnsi="Arial"/>
          <w:sz w:val="22"/>
          <w:szCs w:val="22"/>
        </w:rPr>
      </w:pPr>
      <w:r>
        <w:rPr>
          <w:rStyle w:val="Hyperlink5"/>
          <w:rFonts w:ascii="Arial" w:hAnsi="Arial"/>
          <w:sz w:val="22"/>
          <w:szCs w:val="22"/>
        </w:rPr>
        <w:t>difetti di funzionamento delle apparecchiature e dei sistemi di collegamento e programmi impiegati dal singolo operatore economico per il collegamento alla Piattaforma;</w:t>
      </w:r>
    </w:p>
    <w:p w:rsidR="00914394" w:rsidRDefault="00000000">
      <w:pPr>
        <w:pStyle w:val="Paragrafoelenco"/>
        <w:widowControl w:val="0"/>
        <w:numPr>
          <w:ilvl w:val="0"/>
          <w:numId w:val="29"/>
        </w:numPr>
        <w:jc w:val="both"/>
        <w:rPr>
          <w:rFonts w:ascii="Arial" w:hAnsi="Arial"/>
          <w:sz w:val="22"/>
          <w:szCs w:val="22"/>
        </w:rPr>
      </w:pPr>
      <w:r>
        <w:rPr>
          <w:rStyle w:val="Hyperlink5"/>
          <w:rFonts w:ascii="Arial" w:hAnsi="Arial"/>
          <w:sz w:val="22"/>
          <w:szCs w:val="22"/>
        </w:rPr>
        <w:t>utilizzo della Piattaforma da parte dell’operatore economico in maniera non conforme al Disciplinare ed alle Norme tecniche di utilizzo della piattaforma telematica</w:t>
      </w:r>
    </w:p>
    <w:p w:rsidR="00914394" w:rsidRDefault="00000000">
      <w:pPr>
        <w:jc w:val="both"/>
        <w:rPr>
          <w:rStyle w:val="Nessuno"/>
          <w:rFonts w:ascii="Arial" w:eastAsia="Arial" w:hAnsi="Arial" w:cs="Arial"/>
          <w:sz w:val="22"/>
          <w:szCs w:val="22"/>
        </w:rPr>
      </w:pPr>
      <w:r>
        <w:rPr>
          <w:rStyle w:val="Nessuno"/>
          <w:rFonts w:ascii="Arial" w:hAnsi="Arial"/>
          <w:sz w:val="22"/>
          <w:szCs w:val="22"/>
        </w:rPr>
        <w:t>In caso di mancato funzionamento della Piattaforma o di malfunzionamento della stessa, non dovuti alle predette circostanze, che impediscono la corretta presentazione delle offerte, al fine di assicurare la massima partecipazione, la stazione appaltante può disporre la sospensione del termine di presentazione delle offerte per un periodo di tempo necessario a ripristinare il normale funzionamento della Piattaforma e la proroga dello stesso per una durata proporzionale alla durata del mancato o non corretto funzionamento, tenuto conto della gravità dello stesso.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si riserva di agire in tal modo anche quando, esclusa la negligenza dell’operatore economico, non sia possibile accertare la causa del mancato funzionamento o del malfunzionamento.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attività e le operazioni effettuate nell’ambito della Piattaforma sono registrate e attribuite all’operatore economico e si intendono compiute nell’ora e nel giorno risultanti dalle registrazioni di sistema.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sistema operativo della Piattaforma è sincronizzato sulla scala di tempo nazionale di cui al decreto del Ministro dell’industria, del commercio e dell’artigianato 30 novembre 1993, n. 591, tramite protocollo NTP o standard superiore.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L’acquisto, l’installazione e la configurazione dell’hardware, del software, dei certificati digitali di firma, della casella di PEC o comunque di un indirizzo di servizio elettronico di recapito certificato qualificato, nonché dei collegamenti per l’accesso alla rete Internet, restano a esclusivo carico dell’operatore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Piattaforma è accessibile in qualsiasi orario dalla data di pubblicazione del bando alla data di scadenza del termine di presentazione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Ulteriori informazioni sul funzionamento della Piattaforma possono sono indicate nelle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16" w:history="1">
        <w:r w:rsidR="00914394">
          <w:rPr>
            <w:rStyle w:val="Hyperlink3"/>
          </w:rPr>
          <w:t>https://lccsiracusa.tuttogare.it/norme_tecniche.php</w:t>
        </w:r>
      </w:hyperlink>
      <w:r>
        <w:rPr>
          <w:rStyle w:val="Nessuno"/>
          <w:rFonts w:ascii="Arial" w:hAnsi="Arial"/>
          <w:sz w:val="22"/>
          <w:szCs w:val="22"/>
        </w:rPr>
        <w:t>, a cui si fa espresso rinvio.</w:t>
      </w:r>
    </w:p>
    <w:p w:rsidR="00914394" w:rsidRDefault="00914394">
      <w:pPr>
        <w:pStyle w:val="Testocommento"/>
        <w:spacing w:line="240" w:lineRule="auto"/>
        <w:rPr>
          <w:rStyle w:val="Nessuno"/>
          <w:rFonts w:ascii="Arial" w:eastAsia="Arial" w:hAnsi="Arial" w:cs="Arial"/>
          <w:b/>
          <w:bCs/>
          <w:sz w:val="22"/>
          <w:szCs w:val="22"/>
        </w:rPr>
      </w:pPr>
    </w:p>
    <w:p w:rsidR="00914394" w:rsidRDefault="00000000">
      <w:pPr>
        <w:pStyle w:val="Testocommento"/>
        <w:spacing w:line="240" w:lineRule="auto"/>
        <w:rPr>
          <w:rStyle w:val="Nessuno"/>
          <w:rFonts w:ascii="Arial" w:eastAsia="Arial" w:hAnsi="Arial" w:cs="Arial"/>
          <w:sz w:val="22"/>
          <w:szCs w:val="22"/>
        </w:rPr>
      </w:pPr>
      <w:r>
        <w:rPr>
          <w:rStyle w:val="Nessuno"/>
          <w:rFonts w:ascii="Arial" w:hAnsi="Arial"/>
          <w:b/>
          <w:bCs/>
          <w:sz w:val="22"/>
          <w:szCs w:val="22"/>
        </w:rPr>
        <w:t>1.2 - DOTAZIONI TECNICHE</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Ai fini della partecipazione alla presente procedura, ogni operatore economico deve dotarsi, a propria cura, spesa e responsabilità della strumentazione tecnica ed informatica conforme a quella indicata nel presente disciplinare.</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In ogni caso è indispensabile:</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disporre almeno di un personal computer conforme agli standard aggiornati di mercato, con connessione internet e dotato di un comune browser idoneo ad operare in modo corretto sulla Piattaforma;</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disporre di un sistema pubblico per la gestione dell’identità digitale (SPID) di cui all’articolo 64 del decreto legislativo 7 marzo 2005, n. 82 o di altri mezzi di identificazione elettronica per il riconoscimento reciproco transfrontaliero ai sensi del Regolamento eIDAS;</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lastRenderedPageBreak/>
        <w:t>avere da parte del legale rappresentante dell’operatore economico (o da persona munita di idonei poteri di firma) un certificato di firma digitale, in corso di validità, rilasciato da:</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d.1) un organismo incluso nell’elenco pubblico dei certificatori tenuto dall’Agenzia per l’Italia Digitale (previsto dall’articolo 29 del decreto legislativo n. 82/2005);</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d.2) un certificatore operante in base a una licenza o autorizzazione rilasciata da uno Stato membro dell’Unione europea e in possesso dei requisiti previsti dal Regolamento n. 910/2014;</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 un certificatore stabilito in uno Stato non facente parte dell’Unione europea quando ricorre una delle seguenti condizioni:</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d.3.1) il certificatore possiede i requisiti previsti dal Regolamento n. 910/2014 ed è qualificato in uno stato membro;</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d.3.2) il certificato qualificato è garantito da un certificatore stabilito nell’Unione Europea, in possesso dei requisiti di cui al regolamento n. 9100/14;</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d.3.3) il certificato qualificato, o il certificatore, è riconosciuto in forza di un accordo bilaterale o multilaterale tra l’Unione Europea e paesi terzi o organizzazioni internazionali.</w:t>
      </w:r>
    </w:p>
    <w:p w:rsidR="00914394" w:rsidRDefault="00914394">
      <w:pPr>
        <w:pStyle w:val="Testocommento"/>
        <w:spacing w:line="240" w:lineRule="auto"/>
        <w:rPr>
          <w:rStyle w:val="Nessuno"/>
          <w:rFonts w:ascii="Arial" w:eastAsia="Arial" w:hAnsi="Arial" w:cs="Arial"/>
          <w:b/>
          <w:bCs/>
          <w:sz w:val="22"/>
          <w:szCs w:val="22"/>
        </w:rPr>
      </w:pPr>
    </w:p>
    <w:p w:rsidR="00914394" w:rsidRDefault="00000000">
      <w:pPr>
        <w:pStyle w:val="Testocommento"/>
        <w:spacing w:line="240" w:lineRule="auto"/>
        <w:rPr>
          <w:rStyle w:val="Nessuno"/>
          <w:rFonts w:ascii="Arial" w:eastAsia="Arial" w:hAnsi="Arial" w:cs="Arial"/>
          <w:b/>
          <w:bCs/>
          <w:sz w:val="22"/>
          <w:szCs w:val="22"/>
        </w:rPr>
      </w:pPr>
      <w:r>
        <w:rPr>
          <w:rStyle w:val="Nessuno"/>
          <w:rFonts w:ascii="Arial" w:hAnsi="Arial"/>
          <w:b/>
          <w:bCs/>
          <w:sz w:val="22"/>
          <w:szCs w:val="22"/>
        </w:rPr>
        <w:t>1.3 – IDENTIFICAZIONE DELL’OPERATORE ECONOMICO</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Per poter presentare offerta è necessario accedere alla Piattaforma.</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L’accesso è gratuito ed è consentito a seguito dell’identificazione dell’operatore economico.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modalità di registrazione e identificazione dell’operatore economico sono individuate nelle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17" w:history="1">
        <w:r w:rsidR="00914394">
          <w:rPr>
            <w:rStyle w:val="Hyperlink3"/>
          </w:rPr>
          <w:t>https://lccsiracusa.tuttogare.it/norme_tecniche.php</w:t>
        </w:r>
      </w:hyperlink>
      <w:r>
        <w:rPr>
          <w:rStyle w:val="Nessuno"/>
          <w:rFonts w:ascii="Arial" w:hAnsi="Arial"/>
          <w:sz w:val="22"/>
          <w:szCs w:val="22"/>
        </w:rPr>
        <w:t>, e a cui si fa espresso rinvio.</w:t>
      </w:r>
    </w:p>
    <w:p w:rsidR="00914394" w:rsidRDefault="00914394">
      <w:pPr>
        <w:pStyle w:val="Testocommento"/>
        <w:spacing w:line="240" w:lineRule="auto"/>
        <w:ind w:firstLine="284"/>
        <w:rPr>
          <w:rStyle w:val="Nessuno"/>
          <w:rFonts w:ascii="Arial" w:eastAsia="Arial" w:hAnsi="Arial" w:cs="Arial"/>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2. DOCUMENTAZIONE DELLA PROCEDURA NEGOZIATA, CHIARIMENTI E COMUNICAZIONI</w:t>
      </w: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2.1 - DOCUMENTI DELLA PROCEDURA NEGOZIATA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La documentazione della procedura negoziata comprende:</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Disciplinare della procedura negoziata, con relativi modelli allegati:</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modello 1) “</w:t>
      </w:r>
      <w:r>
        <w:rPr>
          <w:rStyle w:val="Hyperlink5"/>
          <w:rFonts w:ascii="Arial" w:hAnsi="Arial"/>
          <w:sz w:val="22"/>
          <w:szCs w:val="22"/>
        </w:rPr>
        <w:t>Request.xml” del documento di gara unico europeo (DGUE);</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modello 2) Dichiarazioni integrative del concorrente;</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 xml:space="preserve">modello 3) Dichiarazione inerente </w:t>
      </w:r>
      <w:proofErr w:type="gramStart"/>
      <w:r>
        <w:rPr>
          <w:rStyle w:val="Nessuno"/>
          <w:rFonts w:ascii="Arial" w:hAnsi="Arial"/>
          <w:i/>
          <w:iCs/>
          <w:sz w:val="22"/>
          <w:szCs w:val="22"/>
        </w:rPr>
        <w:t>il</w:t>
      </w:r>
      <w:proofErr w:type="gramEnd"/>
      <w:r>
        <w:rPr>
          <w:rStyle w:val="Nessuno"/>
          <w:rFonts w:ascii="Arial" w:hAnsi="Arial"/>
          <w:i/>
          <w:iCs/>
          <w:sz w:val="22"/>
          <w:szCs w:val="22"/>
        </w:rPr>
        <w:t xml:space="preserve"> titolare effettivo;</w:t>
      </w:r>
    </w:p>
    <w:p w:rsidR="00914394" w:rsidRDefault="00000000">
      <w:pPr>
        <w:pStyle w:val="Standard"/>
        <w:numPr>
          <w:ilvl w:val="1"/>
          <w:numId w:val="33"/>
        </w:numPr>
        <w:rPr>
          <w:rFonts w:ascii="Arial" w:hAnsi="Arial"/>
          <w:i/>
          <w:iCs/>
          <w:sz w:val="22"/>
          <w:szCs w:val="22"/>
        </w:rPr>
      </w:pPr>
      <w:r>
        <w:rPr>
          <w:rStyle w:val="Hyperlink5"/>
          <w:rFonts w:ascii="Arial" w:hAnsi="Arial"/>
          <w:i/>
          <w:iCs/>
          <w:sz w:val="22"/>
          <w:szCs w:val="22"/>
        </w:rPr>
        <w:t>modello 4) Patto di integrità;</w:t>
      </w:r>
    </w:p>
    <w:p w:rsidR="00914394" w:rsidRDefault="00000000">
      <w:pPr>
        <w:pStyle w:val="Standard"/>
        <w:numPr>
          <w:ilvl w:val="1"/>
          <w:numId w:val="33"/>
        </w:numPr>
        <w:rPr>
          <w:rFonts w:ascii="Arial" w:hAnsi="Arial"/>
          <w:i/>
          <w:iCs/>
          <w:sz w:val="22"/>
          <w:szCs w:val="22"/>
        </w:rPr>
      </w:pPr>
      <w:r>
        <w:rPr>
          <w:rStyle w:val="Hyperlink5"/>
          <w:rFonts w:ascii="Arial" w:hAnsi="Arial"/>
          <w:i/>
          <w:iCs/>
          <w:sz w:val="22"/>
          <w:szCs w:val="22"/>
        </w:rPr>
        <w:t>modello 5) Protocollo di Legalità “Carlo Alberto Dalla Chiesa”;</w:t>
      </w:r>
    </w:p>
    <w:p w:rsidR="00914394" w:rsidRDefault="00000000">
      <w:pPr>
        <w:pStyle w:val="Standard"/>
        <w:numPr>
          <w:ilvl w:val="0"/>
          <w:numId w:val="33"/>
        </w:numPr>
        <w:rPr>
          <w:rFonts w:ascii="Arial" w:hAnsi="Arial"/>
          <w:sz w:val="22"/>
          <w:szCs w:val="22"/>
        </w:rPr>
      </w:pPr>
      <w:r>
        <w:rPr>
          <w:rStyle w:val="Hyperlink5"/>
          <w:rFonts w:ascii="Arial" w:hAnsi="Arial"/>
          <w:sz w:val="22"/>
          <w:szCs w:val="22"/>
        </w:rPr>
        <w:t>Capitolato speciale descrittivo e prestazionale;</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NORME TECNICHE DI FUNZIONAMENTO DELLA PIATTAFORMA DI E- PROCUREMENT “</w:t>
      </w:r>
      <w:proofErr w:type="spellStart"/>
      <w:r>
        <w:rPr>
          <w:rStyle w:val="Hyperlink5"/>
          <w:rFonts w:ascii="Arial" w:hAnsi="Arial"/>
          <w:sz w:val="22"/>
          <w:szCs w:val="22"/>
        </w:rPr>
        <w:t>TuttoGare</w:t>
      </w:r>
      <w:proofErr w:type="spellEnd"/>
      <w:r>
        <w:rPr>
          <w:rStyle w:val="Hyperlink5"/>
          <w:rFonts w:ascii="Arial" w:hAnsi="Arial"/>
          <w:sz w:val="22"/>
          <w:szCs w:val="22"/>
        </w:rPr>
        <w:t>”.</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2.2 - CHIARIMENTI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È possibile ottenere chiarimenti sulla presente procedura mediante la proposizione di quesiti scritti da inoltrare, almeno 5 giorni prima della scadenza del termine fissato per la presentazione delle offerte, in via telematica attraverso la sezione della Piattaforma riservata alle richieste di chiarimenti, previa registrazione alla Piattaforma stessa.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richieste di chiarimenti e le relative risposte sono formulate esclusivamente in lingua italiana.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risposte alle richieste di chiarimenti presentate in tempo utile sono fornite in formato elettronico almeno tre giorni prima della scadenza del termine fissato per la presentazione delle offerte, mediante pubblicazione delle richieste in forma anonima e delle relative risposte sulla Piattaforma.  Si invitano i concorrenti a visionare costantemente la Piattaforma.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viene fornita risposta alle richieste presentate con modalità diverse da quelle sopra indicate.</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2.3 - COMUNICAZIONI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Tutte le comunicazioni e gli scambi di informazioni tra stazione appaltante e operatori economici sono eseguiti in conformità con quanto disposto dal </w:t>
      </w:r>
      <w:r>
        <w:rPr>
          <w:rStyle w:val="Nessuno"/>
          <w:rFonts w:ascii="Arial" w:hAnsi="Arial"/>
          <w:sz w:val="22"/>
          <w:szCs w:val="22"/>
          <w:u w:val="single"/>
        </w:rPr>
        <w:t>decreto legislativo n. 82/2005</w:t>
      </w:r>
      <w:r>
        <w:rPr>
          <w:rStyle w:val="Nessuno"/>
          <w:rFonts w:ascii="Arial" w:hAnsi="Arial"/>
          <w:sz w:val="22"/>
          <w:szCs w:val="22"/>
        </w:rPr>
        <w:t xml:space="preserve">, tramite le piattaforme di approvvigionamento digitale e, per quanto non previsto dalle stesse, mediante utilizzo del domicilio digitale estratto da uno degli indici di cui agli articoli 6-bis, 6-ter, 6-quater, del </w:t>
      </w:r>
      <w:r>
        <w:rPr>
          <w:rStyle w:val="Nessuno"/>
          <w:rFonts w:ascii="Arial" w:hAnsi="Arial"/>
          <w:sz w:val="22"/>
          <w:szCs w:val="22"/>
          <w:u w:val="single"/>
        </w:rPr>
        <w:t>decreto legislativo n. 82/2005</w:t>
      </w:r>
      <w:r>
        <w:rPr>
          <w:rStyle w:val="Nessuno"/>
          <w:rFonts w:ascii="Arial" w:hAnsi="Arial"/>
          <w:sz w:val="22"/>
          <w:szCs w:val="22"/>
        </w:rPr>
        <w:t xml:space="preserve"> o, per gli operatori economici transfrontalieri, attraverso un indirizzo di servizio elettronico di recapito certificato qualificato ai sensi del Regolamento eIDAS.</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In caso di malfunzionamento della piattaforma, la stazione appaltante provvederà all’invio di qualsiasi comunicazione al domicilio digitale presente negli indici di cui ai richiamati articoli 6-bis,6-ter, 6-quater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lastRenderedPageBreak/>
        <w:t>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consorzi di cui all’art. 65, lett. b) - c) - d), del Codice, la comunicazione recapitata nei modi sopra indicati al consorzio si intende validamente resa a tutte le consorziate.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avvalimento, la comunicazione recapitata all’offerente nei modi sopra indicati si intende validamente resa a tutti gli operatori economici ausiliari.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pendenza del termine di deposito delle offerte, la Stazione Appaltante potrà usare la piattaforma telematica indicata al precedente Paragrafo 1.1 per eventuali comunicazioni ai concorrenti e, anche successivamente a detto termine, per le comunicazioni di carattere generale inerenti all’appalto in oggetto.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operatori economici che intendono partecipare alla procedura negoziata, pertanto, sono invitati a prendere regolarmente visione, fino al termine ultimo previsto per la presentazione delle offerte, di eventuali pubblicazioni e/o avvisi presenti sulla Piattaforma.</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3. OGGETTO, IMPORTO, SUDDIVISIONE IN LOTTI, DURATA, REVISIONE DEL PREZZO E MODIFICHE CONTRATTUALI</w:t>
      </w: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3.1 - OGGETTO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Per il dettaglio delle prestazioni oggetto del servizio di cui alla presente procedura negoziata, si rinvia al Capitolato speciale descrittivo e prestazionale.</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3.2 - IMPORTO</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L’importo a base d’asta per la realizzazione del servizio è pari a </w:t>
      </w:r>
      <w:r>
        <w:rPr>
          <w:rStyle w:val="Nessuno"/>
          <w:rFonts w:ascii="Arial" w:hAnsi="Arial"/>
          <w:b/>
          <w:bCs/>
          <w:sz w:val="22"/>
          <w:szCs w:val="22"/>
        </w:rPr>
        <w:t>€</w:t>
      </w:r>
      <w:r>
        <w:rPr>
          <w:rStyle w:val="Nessuno"/>
          <w:rFonts w:ascii="Arial" w:hAnsi="Arial"/>
          <w:sz w:val="22"/>
          <w:szCs w:val="22"/>
        </w:rPr>
        <w:t xml:space="preserve"> </w:t>
      </w:r>
      <w:r w:rsidR="00F52712">
        <w:rPr>
          <w:rStyle w:val="Nessuno"/>
          <w:rFonts w:ascii="Arial" w:hAnsi="Arial"/>
          <w:b/>
          <w:bCs/>
          <w:sz w:val="22"/>
          <w:szCs w:val="22"/>
        </w:rPr>
        <w:t>688.960</w:t>
      </w:r>
      <w:r>
        <w:rPr>
          <w:rStyle w:val="Nessuno"/>
          <w:rFonts w:ascii="Arial" w:hAnsi="Arial"/>
          <w:sz w:val="22"/>
          <w:szCs w:val="22"/>
        </w:rPr>
        <w:t>.</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L’importo complessivo è al netto di</w:t>
      </w:r>
      <w:r>
        <w:rPr>
          <w:rStyle w:val="Nessuno"/>
          <w:rFonts w:ascii="Arial" w:hAnsi="Arial"/>
          <w:i/>
          <w:iCs/>
          <w:sz w:val="22"/>
          <w:szCs w:val="22"/>
        </w:rPr>
        <w:t xml:space="preserve"> </w:t>
      </w:r>
      <w:r>
        <w:rPr>
          <w:rStyle w:val="Nessuno"/>
          <w:rFonts w:ascii="Arial" w:hAnsi="Arial"/>
          <w:sz w:val="22"/>
          <w:szCs w:val="22"/>
        </w:rPr>
        <w:t>IVA.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L’importo degli oneri per la sicurezza da interferenze è pari a € 0,00.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L’importo dell’appalto comprende i costi della manodopera, non comprimibili, che la stazione appaltante ha stimato in</w:t>
      </w:r>
      <w:r>
        <w:rPr>
          <w:rStyle w:val="Nessuno"/>
          <w:rFonts w:ascii="Arial" w:hAnsi="Arial"/>
          <w:b/>
          <w:bCs/>
          <w:sz w:val="22"/>
          <w:szCs w:val="22"/>
        </w:rPr>
        <w:t xml:space="preserve"> € </w:t>
      </w:r>
      <w:r w:rsidR="002F4514" w:rsidRPr="002F4514">
        <w:rPr>
          <w:rFonts w:ascii="Arial" w:hAnsi="Arial"/>
          <w:b/>
          <w:bCs/>
          <w:sz w:val="22"/>
          <w:szCs w:val="22"/>
        </w:rPr>
        <w:t>274.086,40</w:t>
      </w:r>
      <w:r>
        <w:rPr>
          <w:rStyle w:val="Nessuno"/>
          <w:rFonts w:ascii="Arial" w:hAnsi="Arial"/>
          <w:b/>
          <w:bCs/>
          <w:sz w:val="22"/>
          <w:szCs w:val="22"/>
        </w:rPr>
        <w:t>,</w:t>
      </w:r>
      <w:r>
        <w:rPr>
          <w:rStyle w:val="Nessuno"/>
          <w:rFonts w:ascii="Arial" w:hAnsi="Arial"/>
          <w:b/>
          <w:bCs/>
          <w:i/>
          <w:iCs/>
          <w:sz w:val="22"/>
          <w:szCs w:val="22"/>
        </w:rPr>
        <w:t xml:space="preserve"> </w:t>
      </w:r>
      <w:r>
        <w:rPr>
          <w:rStyle w:val="Nessuno"/>
          <w:rFonts w:ascii="Arial" w:hAnsi="Arial"/>
          <w:sz w:val="22"/>
          <w:szCs w:val="22"/>
        </w:rPr>
        <w:t>calcolati sui profili professionali e le ore settimanali previste nella sottostante tabella. Resta la possibilità per l’operatore economico di dimostrare che il ribasso complessivo dell’importo deriva da una più efficiente organizzazione aziendale.</w:t>
      </w:r>
    </w:p>
    <w:p w:rsidR="00914394" w:rsidRDefault="00914394">
      <w:pPr>
        <w:pStyle w:val="Standard"/>
        <w:rPr>
          <w:rStyle w:val="Nessuno"/>
          <w:rFonts w:ascii="Arial" w:eastAsia="Arial" w:hAnsi="Arial" w:cs="Arial"/>
          <w:sz w:val="22"/>
          <w:szCs w:val="22"/>
        </w:rPr>
      </w:pPr>
    </w:p>
    <w:tbl>
      <w:tblPr>
        <w:tblStyle w:val="TableNormal"/>
        <w:tblW w:w="99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263"/>
        <w:gridCol w:w="993"/>
        <w:gridCol w:w="1275"/>
        <w:gridCol w:w="1560"/>
        <w:gridCol w:w="1417"/>
        <w:gridCol w:w="2410"/>
      </w:tblGrid>
      <w:tr w:rsidR="00914394">
        <w:trPr>
          <w:trHeight w:val="893"/>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Profilo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(A) Importo orario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N. ore per “edizione”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N. di edizioni complessive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(B) Ore complessive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rPr>
                <w:rStyle w:val="Nessuno"/>
                <w:rFonts w:ascii="Arial" w:eastAsia="Arial" w:hAnsi="Arial" w:cs="Arial"/>
                <w:b/>
                <w:bCs/>
                <w:sz w:val="20"/>
                <w:szCs w:val="20"/>
              </w:rPr>
            </w:pPr>
            <w:r>
              <w:rPr>
                <w:rStyle w:val="Nessuno"/>
                <w:rFonts w:ascii="Arial" w:hAnsi="Arial"/>
                <w:b/>
                <w:bCs/>
                <w:sz w:val="20"/>
                <w:szCs w:val="20"/>
              </w:rPr>
              <w:t>Costi della manodopera complessivi</w:t>
            </w:r>
          </w:p>
          <w:p w:rsidR="00914394" w:rsidRDefault="00000000">
            <w:pPr>
              <w:pStyle w:val="Standard"/>
              <w:suppressAutoHyphens/>
              <w:jc w:val="center"/>
            </w:pPr>
            <w:r>
              <w:rPr>
                <w:rStyle w:val="Nessuno"/>
                <w:rFonts w:ascii="Arial" w:hAnsi="Arial"/>
                <w:b/>
                <w:bCs/>
                <w:sz w:val="20"/>
                <w:szCs w:val="20"/>
              </w:rPr>
              <w:t>(A*B)</w:t>
            </w:r>
          </w:p>
        </w:tc>
      </w:tr>
      <w:tr w:rsidR="00914394">
        <w:trPr>
          <w:trHeight w:val="893"/>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rPr>
                <w:rStyle w:val="Nessuno"/>
                <w:rFonts w:ascii="Arial" w:eastAsia="Arial" w:hAnsi="Arial" w:cs="Arial"/>
                <w:sz w:val="20"/>
                <w:szCs w:val="20"/>
              </w:rPr>
            </w:pPr>
            <w:r>
              <w:rPr>
                <w:rStyle w:val="Nessuno"/>
                <w:rFonts w:ascii="Arial" w:hAnsi="Arial"/>
                <w:sz w:val="20"/>
                <w:szCs w:val="20"/>
              </w:rPr>
              <w:t>Orientatore</w:t>
            </w:r>
          </w:p>
          <w:p w:rsidR="00914394" w:rsidRDefault="00000000">
            <w:pPr>
              <w:pStyle w:val="Standard"/>
              <w:suppressAutoHyphens/>
              <w:jc w:val="center"/>
            </w:pPr>
            <w:r>
              <w:rPr>
                <w:rStyle w:val="Nessuno"/>
                <w:rFonts w:ascii="Arial" w:hAnsi="Arial"/>
                <w:sz w:val="20"/>
                <w:szCs w:val="20"/>
              </w:rPr>
              <w:t>(</w:t>
            </w:r>
            <w:proofErr w:type="spellStart"/>
            <w:r>
              <w:rPr>
                <w:rStyle w:val="Nessuno"/>
                <w:rFonts w:ascii="Arial" w:hAnsi="Arial"/>
                <w:sz w:val="20"/>
                <w:szCs w:val="20"/>
              </w:rPr>
              <w:t>Liv</w:t>
            </w:r>
            <w:proofErr w:type="spellEnd"/>
            <w:r>
              <w:rPr>
                <w:rStyle w:val="Nessuno"/>
                <w:rFonts w:ascii="Arial" w:hAnsi="Arial"/>
                <w:sz w:val="20"/>
                <w:szCs w:val="20"/>
              </w:rPr>
              <w:t>. 5 CCNL per la Formazione Professionale)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€ 25,76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5</w:t>
            </w:r>
            <w:r w:rsidR="00F52712">
              <w:rPr>
                <w:rStyle w:val="Nessuno"/>
                <w:rFonts w:ascii="Arial" w:hAnsi="Arial"/>
                <w:sz w:val="20"/>
                <w:szCs w:val="20"/>
              </w:rPr>
              <w:t>32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F52712">
            <w:pPr>
              <w:pStyle w:val="Standard"/>
              <w:suppressAutoHyphens/>
              <w:jc w:val="center"/>
            </w:pPr>
            <w:r>
              <w:rPr>
                <w:rStyle w:val="Nessuno"/>
                <w:rFonts w:ascii="Arial" w:hAnsi="Arial"/>
                <w:sz w:val="20"/>
                <w:szCs w:val="20"/>
              </w:rPr>
              <w:t>10.640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 xml:space="preserve">€ </w:t>
            </w:r>
            <w:r w:rsidR="00F52712">
              <w:rPr>
                <w:rStyle w:val="Nessuno"/>
                <w:rFonts w:ascii="Arial" w:hAnsi="Arial"/>
                <w:sz w:val="20"/>
                <w:szCs w:val="20"/>
              </w:rPr>
              <w:t>274.086,40</w:t>
            </w:r>
          </w:p>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contratto collettivo applicato è il CCNL per la Formazione Professionale sottoscritto tra le organizzazioni sindacali e le organizzazioni dei datori di lavoro comparativamente </w:t>
      </w:r>
      <w:proofErr w:type="spellStart"/>
      <w:r>
        <w:rPr>
          <w:rStyle w:val="Nessuno"/>
          <w:rFonts w:ascii="Arial" w:hAnsi="Arial"/>
          <w:sz w:val="22"/>
          <w:szCs w:val="22"/>
        </w:rPr>
        <w:t>piu</w:t>
      </w:r>
      <w:proofErr w:type="spellEnd"/>
      <w:r>
        <w:rPr>
          <w:rStyle w:val="Nessuno"/>
          <w:rFonts w:ascii="Arial" w:hAnsi="Arial"/>
          <w:sz w:val="22"/>
          <w:szCs w:val="22"/>
        </w:rPr>
        <w:t>̀ rappresentative, COD. T261. Il personale impiegato nel servizio deve essere in possesso delle competenze necessarie per espletare le attività previste.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Si precisa che l’importo a base d’asta indicato rappresenta una stima dell’importo massimo di spesa, calcolato sulla base delle ore di servizio di orientamento di gruppo previste, e </w:t>
      </w:r>
      <w:r>
        <w:rPr>
          <w:rStyle w:val="Nessuno"/>
          <w:rFonts w:ascii="Arial" w:hAnsi="Arial"/>
          <w:sz w:val="22"/>
          <w:szCs w:val="22"/>
          <w:u w:val="single"/>
        </w:rPr>
        <w:t>non rappresenta in alcun modo un impegno all'acquisto dei servizi per l'intero ammontare</w:t>
      </w:r>
      <w:r>
        <w:rPr>
          <w:rStyle w:val="Nessuno"/>
          <w:rFonts w:ascii="Arial" w:hAnsi="Arial"/>
          <w:sz w:val="22"/>
          <w:szCs w:val="22"/>
        </w:rPr>
        <w:t>, che comunque non potrà in alcun caso eccedere l’importo massimo previsto a base d’asta.</w:t>
      </w: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 xml:space="preserve">Saranno, pertanto, riconosciute esclusivamente le ore di servizio effettivamente svolte, debitamente documentate e rendicontate dall’aggiudicatario, in accordo al denominatore orario pari a € 79,00/h </w:t>
      </w:r>
      <w:r>
        <w:rPr>
          <w:rStyle w:val="Nessuno"/>
          <w:rFonts w:ascii="Arial" w:hAnsi="Arial"/>
          <w:sz w:val="22"/>
          <w:szCs w:val="22"/>
        </w:rPr>
        <w:t>(IVA inclusa).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pagamento all’appaltatore sarà conseguentemente determinato in funzione delle ore di orientamento effettivamente espletate, documentate e riconosciute dall’Ente Committente in conformità alle modalità stabilite negli atti della presente procedura, nel contratto e in ragione dell’offerta formulata.</w:t>
      </w:r>
    </w:p>
    <w:p w:rsidR="00914394" w:rsidRDefault="00914394">
      <w:pPr>
        <w:pStyle w:val="Standard"/>
        <w:rPr>
          <w:rStyle w:val="Nessuno"/>
          <w:rFonts w:ascii="Arial" w:eastAsia="Arial" w:hAnsi="Arial" w:cs="Arial"/>
          <w:sz w:val="22"/>
          <w:szCs w:val="22"/>
        </w:rPr>
      </w:pPr>
    </w:p>
    <w:p w:rsidR="00914394" w:rsidRDefault="00000000">
      <w:pPr>
        <w:pStyle w:val="Standard"/>
        <w:rPr>
          <w:rStyle w:val="Nessuno"/>
          <w:rFonts w:ascii="Arial" w:eastAsia="Arial" w:hAnsi="Arial" w:cs="Arial"/>
          <w:b/>
          <w:bCs/>
          <w:sz w:val="22"/>
          <w:szCs w:val="22"/>
        </w:rPr>
      </w:pPr>
      <w:r>
        <w:rPr>
          <w:rStyle w:val="Nessuno"/>
          <w:rFonts w:ascii="Arial" w:hAnsi="Arial"/>
          <w:b/>
          <w:bCs/>
          <w:sz w:val="22"/>
          <w:szCs w:val="22"/>
        </w:rPr>
        <w:t>3.3 – SUDDIVISIONE IN LOTTI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Il presente appalto è suddiviso in un unico lotto per rispondere alla necessaria esigenza di garantire un approccio uniforme e coerente nell’erogazione del servizio di orientamento professionale in tutte le realtà territoriali interessate. Inoltre, tale soluzione consente un controllo più efficace sulla qualità complessiva del servizio, minimizzando il rischio di disfunzioni legate all’interazione con diversi soggetti economici che possano essere foriere di difformità e/o ritardi, anche gravi, nell’esecuzione del servizio tali da pregiudicare, anche potenzialmente, il raggiungimento dei target progettuali previsti.</w:t>
      </w:r>
    </w:p>
    <w:p w:rsidR="00914394" w:rsidRDefault="00914394">
      <w:pPr>
        <w:pStyle w:val="Textbody"/>
        <w:ind w:right="51"/>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3.4 - DURATA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servizio decorrerà dalla data di stipula del contratto ovvero dalla sua esecuzione anticipata e si concluderà il 28 febbraio 2026.</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3.5 - REVISIONE PREZZI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Qualora nel corso di esecuzione del contratto, al verificarsi di particolari condizioni di natura oggettiva, si determina una variazione, in aumento o in diminuzione, del costo del servizio superiore al cinque per cento dell’importo complessivo, i prezzi sono aggiornati, nella misura dell’ottanta per cento della variazione, in relazione alle prestazioni da eseguire. Ai fini del calcolo della variazione dei prezzi si utilizzano gli indici dei prezzi al consumo, ai sensi dell’art. 60, comma 3, lettera b) del Codice.</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3.6 - MODIFICA DEL CONTRATTO IN FASE DI ESECUZIONE</w:t>
      </w:r>
    </w:p>
    <w:p w:rsidR="00914394" w:rsidRDefault="00000000">
      <w:pPr>
        <w:pStyle w:val="Standard"/>
        <w:tabs>
          <w:tab w:val="left" w:pos="940"/>
        </w:tabs>
        <w:jc w:val="both"/>
        <w:rPr>
          <w:rStyle w:val="Nessuno"/>
          <w:rFonts w:ascii="Arial" w:eastAsia="Arial" w:hAnsi="Arial" w:cs="Arial"/>
          <w:sz w:val="22"/>
          <w:szCs w:val="22"/>
        </w:rPr>
      </w:pPr>
      <w:r>
        <w:rPr>
          <w:rStyle w:val="Nessuno"/>
          <w:rFonts w:ascii="Arial" w:hAnsi="Arial"/>
          <w:sz w:val="22"/>
          <w:szCs w:val="22"/>
        </w:rPr>
        <w:t xml:space="preserve">Fermo quanto previsto dall’articolo 60 per le clausole di revisione dei prezzi, il contratto può essere modificato nei limiti ed alle condizioni di cui all’art. 120 del </w:t>
      </w:r>
      <w:proofErr w:type="spellStart"/>
      <w:r>
        <w:rPr>
          <w:rStyle w:val="Nessuno"/>
          <w:rFonts w:ascii="Arial" w:hAnsi="Arial"/>
          <w:sz w:val="22"/>
          <w:szCs w:val="22"/>
          <w:u w:val="single"/>
        </w:rPr>
        <w:t>D.Lgs.</w:t>
      </w:r>
      <w:proofErr w:type="spellEnd"/>
      <w:r>
        <w:rPr>
          <w:rStyle w:val="Nessuno"/>
          <w:rFonts w:ascii="Arial" w:hAnsi="Arial"/>
          <w:sz w:val="22"/>
          <w:szCs w:val="22"/>
          <w:u w:val="single"/>
        </w:rPr>
        <w:t xml:space="preserve"> n. 36/2023.</w:t>
      </w:r>
    </w:p>
    <w:p w:rsidR="00914394" w:rsidRDefault="00914394">
      <w:pPr>
        <w:pStyle w:val="Standard"/>
        <w:jc w:val="both"/>
        <w:rPr>
          <w:rStyle w:val="Nessuno"/>
          <w:rFonts w:ascii="Arial" w:eastAsia="Arial" w:hAnsi="Arial" w:cs="Arial"/>
          <w:b/>
          <w:bCs/>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4. SOGGETTI AMMESSI IN FORMA SINGOLA E ASSOCIATA E CONDIZIONI DI PARTECIPAZIONE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operatori economici possono partecipare alla presente procedura in forma singola o associata.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Ai soggetti costituiti in forma associata si applicano le disposizioni di cui agli articoli 67 e 68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consorzi di cui agli articoli 65, comma 2 del Codice che intendono eseguire le prestazioni tramite i propri consorziati sono tenuti ad indicare per quali consorziati il consorzio concorre.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consorzi di cui all’articolo 65, comma 2, lettere b) e c) sono tenuti ad indicare per quali consorziati il consorzio concorre.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concorrente che partecipa in una delle forme di seguito indicate è escluso nel caso in cui la Stazione Appaltante accerti la sussistenza di rilevanti indizi tali da far ritenere che le offerte degli operatori economici siano imputabili ad un unico centro decisionale a cagione di accordi intercorsi con altri operatori economici partecipanti alla stessa gara: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in </w:t>
      </w:r>
      <w:proofErr w:type="spellStart"/>
      <w:r>
        <w:rPr>
          <w:rStyle w:val="Hyperlink5"/>
          <w:rFonts w:ascii="Arial" w:hAnsi="Arial"/>
          <w:sz w:val="22"/>
          <w:szCs w:val="22"/>
        </w:rPr>
        <w:t>piu</w:t>
      </w:r>
      <w:proofErr w:type="spellEnd"/>
      <w:r>
        <w:rPr>
          <w:rStyle w:val="Hyperlink5"/>
          <w:rFonts w:ascii="Arial" w:hAnsi="Arial"/>
          <w:sz w:val="22"/>
          <w:szCs w:val="22"/>
        </w:rPr>
        <w:t>̀ di un raggruppamento temporaneo o consorzio ordinario di concorrenti o aggregazione di operatori economici aderenti al contratto di rete (nel prosieguo, aggregazione di retisti);</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sia in raggruppamento o consorzio ordinario di concorrenti sia in forma individuale: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sia in aggregazione di retisti sia in forma individuale. Tale esclusione non si applica alle retiste non partecipanti all’aggregazione, le quali possono presentare offerta, in forma singola o associata;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di un consorzio che ha designato un consorziato esecutore il quale, a sua volta, partecipa in una qualsiasi altra forma.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venga accertato quanto sopra, si provvede ad informare gli operatori economici coinvolti i quali possono, entro 7 (sette) giorni, dimostrare che la circostanza non ha influito sulla gara, né è idonea a incidere sulla capacità di rispettare gli obblighi contrattuali.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aggregazioni di retisti di cui all’articolo 65, comma 2, lettera g) del Codice, rispettano la disciplina prevista per i raggruppamenti temporanei in quanto compatibile. In particolare: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 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b) nel caso in cui la rete sia dotata di organo comune con potere di rappresentanza ma priva di soggettività giuridica (cd. rete - contratto), l’aggregazione di retisti partecipa a mezzo dell’organo </w:t>
      </w:r>
      <w:r>
        <w:rPr>
          <w:rStyle w:val="Nessuno"/>
          <w:rFonts w:ascii="Arial" w:hAnsi="Arial"/>
          <w:sz w:val="22"/>
          <w:szCs w:val="22"/>
        </w:rPr>
        <w:lastRenderedPageBreak/>
        <w:t>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c) 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Ad un raggruppamento temporaneo può partecipare anche un consorzio di cui all’articolo 65, comma 2, lettera b), c), d).</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L’impresa in concordato preventivo può concorrere anche riunita in raggruppamento temporaneo di imprese purché non rivesta la qualità di mandataria e sempre che le altre imprese aderenti al raggruppamento temporaneo di imprese non siano assoggettate ad una procedura concorsuale.</w:t>
      </w:r>
    </w:p>
    <w:p w:rsidR="00914394" w:rsidRDefault="00914394">
      <w:pPr>
        <w:pStyle w:val="Standard"/>
        <w:ind w:left="310"/>
        <w:jc w:val="both"/>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5. REQUISITI DI ORDINE GENERALE ED ALTRE CAUSE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concorrenti devono essere in possesso, a pena di esclusione, dei requisiti di ordine generale previsti dal Codice nonché degli ulteriori requisiti indicati nel presente articolo.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La stazione appaltante verifica il possesso dei requisiti di ordine generale accedendo al fascicolo virtuale dell’operatore economico (di seguito: </w:t>
      </w:r>
      <w:r>
        <w:rPr>
          <w:rStyle w:val="Nessuno"/>
          <w:rFonts w:ascii="Arial" w:hAnsi="Arial"/>
          <w:b/>
          <w:bCs/>
          <w:sz w:val="22"/>
          <w:szCs w:val="22"/>
        </w:rPr>
        <w:t>FVOE</w:t>
      </w:r>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circostanze di cui all’articolo 94 del Codice sono cause di esclusione automatica. La sussistenza delle circostanze di cui all’articolo 95 del Codice è accertata previo contraddittorio con 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partecipazione di consorzi di cui all’articolo 65, comma 2 - lettere b) e c), del Codice i requisiti di cui al successivo Paragrafo 6</w:t>
      </w:r>
      <w:r>
        <w:rPr>
          <w:rStyle w:val="Nessuno"/>
          <w:rFonts w:ascii="Arial" w:hAnsi="Arial"/>
          <w:b/>
          <w:bCs/>
          <w:sz w:val="22"/>
          <w:szCs w:val="22"/>
        </w:rPr>
        <w:t xml:space="preserve"> </w:t>
      </w:r>
      <w:r>
        <w:rPr>
          <w:rStyle w:val="Nessuno"/>
          <w:rFonts w:ascii="Arial" w:hAnsi="Arial"/>
          <w:sz w:val="22"/>
          <w:szCs w:val="22"/>
        </w:rPr>
        <w:t>sono posseduti dal consorzio e dalle consorziate indicate quali esecutrici.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partecipazione di consorzi stabili di cui all’articolo 65, comma 2 - lett. d) del Codice, i requisiti di cui al successivo Paragrafo 6</w:t>
      </w:r>
      <w:r>
        <w:rPr>
          <w:rStyle w:val="Nessuno"/>
          <w:rFonts w:ascii="Arial" w:hAnsi="Arial"/>
          <w:b/>
          <w:bCs/>
          <w:sz w:val="22"/>
          <w:szCs w:val="22"/>
        </w:rPr>
        <w:t xml:space="preserve"> </w:t>
      </w:r>
      <w:r>
        <w:rPr>
          <w:rStyle w:val="Nessuno"/>
          <w:rFonts w:ascii="Arial" w:hAnsi="Arial"/>
          <w:sz w:val="22"/>
          <w:szCs w:val="22"/>
        </w:rPr>
        <w:t>sono posseduti dal consorzio, dalle consorziate indicate quali esecutrici e dalle consorziate che prestano i requisiti.</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5.1 - SELF CLEANING</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Un operatore economico che si trovi in una delle situazioni di cui agli articoli 94 e 95 del Codice, ad eccezione delle irregolarità contributive e fiscali definitivamente e non definitivamente accertate, può fornire prova di aver adottato misure (c.d. </w:t>
      </w:r>
      <w:r>
        <w:rPr>
          <w:rStyle w:val="Nessuno"/>
          <w:rFonts w:ascii="Arial" w:hAnsi="Arial"/>
          <w:i/>
          <w:iCs/>
          <w:sz w:val="22"/>
          <w:szCs w:val="22"/>
        </w:rPr>
        <w:t xml:space="preserve">self </w:t>
      </w:r>
      <w:proofErr w:type="spellStart"/>
      <w:r>
        <w:rPr>
          <w:rStyle w:val="Nessuno"/>
          <w:rFonts w:ascii="Arial" w:hAnsi="Arial"/>
          <w:i/>
          <w:iCs/>
          <w:sz w:val="22"/>
          <w:szCs w:val="22"/>
        </w:rPr>
        <w:t>cleaning</w:t>
      </w:r>
      <w:proofErr w:type="spellEnd"/>
      <w:r>
        <w:rPr>
          <w:rStyle w:val="Nessuno"/>
          <w:rFonts w:ascii="Arial" w:hAnsi="Arial"/>
          <w:sz w:val="22"/>
          <w:szCs w:val="22"/>
        </w:rPr>
        <w:t>) sufficienti a dimostrare la sua affidabilità.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Se la causa di esclusione si è verificata prima della presentazione dell’offerta, l’operatore economico </w:t>
      </w:r>
      <w:r>
        <w:rPr>
          <w:rStyle w:val="Nessuno"/>
          <w:rFonts w:ascii="Arial" w:hAnsi="Arial"/>
          <w:b/>
          <w:bCs/>
          <w:sz w:val="22"/>
          <w:szCs w:val="22"/>
        </w:rPr>
        <w:t>indica nel DGUE</w:t>
      </w:r>
      <w:r>
        <w:rPr>
          <w:rStyle w:val="Nessuno"/>
          <w:rFonts w:ascii="Arial" w:hAnsi="Arial"/>
          <w:sz w:val="22"/>
          <w:szCs w:val="22"/>
        </w:rPr>
        <w:t xml:space="preserve"> la causa ostativa e, alternativamente:</w:t>
      </w:r>
    </w:p>
    <w:p w:rsidR="00914394" w:rsidRDefault="00000000">
      <w:pPr>
        <w:pStyle w:val="Paragrafoelenco"/>
        <w:widowControl w:val="0"/>
        <w:numPr>
          <w:ilvl w:val="0"/>
          <w:numId w:val="36"/>
        </w:numPr>
        <w:jc w:val="both"/>
        <w:rPr>
          <w:rFonts w:ascii="Arial" w:hAnsi="Arial"/>
          <w:i/>
          <w:iCs/>
          <w:sz w:val="22"/>
          <w:szCs w:val="22"/>
        </w:rPr>
      </w:pPr>
      <w:r>
        <w:rPr>
          <w:rStyle w:val="Hyperlink5"/>
          <w:rFonts w:ascii="Arial" w:hAnsi="Arial"/>
          <w:i/>
          <w:iCs/>
          <w:sz w:val="22"/>
          <w:szCs w:val="22"/>
        </w:rPr>
        <w:t>descrive le misure adottate ai sensi dell’articolo 96, comma 6, del Codice;</w:t>
      </w:r>
    </w:p>
    <w:p w:rsidR="00914394" w:rsidRDefault="00000000">
      <w:pPr>
        <w:pStyle w:val="Paragrafoelenco"/>
        <w:widowControl w:val="0"/>
        <w:numPr>
          <w:ilvl w:val="0"/>
          <w:numId w:val="36"/>
        </w:numPr>
        <w:jc w:val="both"/>
        <w:rPr>
          <w:rFonts w:ascii="Arial" w:hAnsi="Arial"/>
          <w:i/>
          <w:iCs/>
          <w:sz w:val="22"/>
          <w:szCs w:val="22"/>
        </w:rPr>
      </w:pPr>
      <w:r>
        <w:rPr>
          <w:rStyle w:val="Hyperlink5"/>
          <w:rFonts w:ascii="Arial" w:hAnsi="Arial"/>
          <w:i/>
          <w:iCs/>
          <w:sz w:val="22"/>
          <w:szCs w:val="22"/>
        </w:rPr>
        <w:t>motiva l’impossibilità ad adottare dette misure e si impegna a provvedere successivamente. L’adozione delle misure è comunicata alla stazione appaltante.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la causa di esclusione si è verificata successivamente alla presentazione dell’offerta, l’operatore economico adotta le misure di cui al comma 6 dell’articolo 96 del Codice dandone comunicazione alla stazione appaltante.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le misure adottate sono ritenute sufficienti e tempestive, l’operatore economico non è escluso. Se dette misure sono ritenute insufficienti e intempestive, la stazione appaltante ne comunica le ragioni all’operatore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può avvalersi del self-</w:t>
      </w:r>
      <w:proofErr w:type="spellStart"/>
      <w:r>
        <w:rPr>
          <w:rStyle w:val="Nessuno"/>
          <w:rFonts w:ascii="Arial" w:hAnsi="Arial"/>
          <w:sz w:val="22"/>
          <w:szCs w:val="22"/>
        </w:rPr>
        <w:t>cleaning</w:t>
      </w:r>
      <w:proofErr w:type="spellEnd"/>
      <w:r>
        <w:rPr>
          <w:rStyle w:val="Nessuno"/>
          <w:rFonts w:ascii="Arial" w:hAnsi="Arial"/>
          <w:sz w:val="22"/>
          <w:szCs w:val="22"/>
        </w:rPr>
        <w:t xml:space="preserve"> l’operatore economico escluso con sentenza definitiva dalla partecipazione alle procedure di affidamento o di concessione, nel corso del periodo di esclusione derivante da tale sentenza.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un raggruppamento/consorzio abbia estromesso o sostituito un partecipante/esecutore interessato da una clausola di esclusione di cui agli articoli 94 e 95 del Codice, si valutano le misure adottate ai sensi dell’articolo 97 del Codice al fine di decidere sull’esclusione.</w:t>
      </w:r>
    </w:p>
    <w:p w:rsidR="00914394" w:rsidRDefault="00914394">
      <w:pPr>
        <w:pStyle w:val="Textbody"/>
        <w:rPr>
          <w:rStyle w:val="Nessuno"/>
          <w:rFonts w:ascii="Arial" w:eastAsia="Arial" w:hAnsi="Arial" w:cs="Arial"/>
          <w:sz w:val="22"/>
          <w:szCs w:val="22"/>
        </w:rPr>
      </w:pPr>
    </w:p>
    <w:p w:rsidR="00914394" w:rsidRDefault="00000000">
      <w:pPr>
        <w:pStyle w:val="Titolo3"/>
        <w:keepNext w:val="0"/>
        <w:widowControl w:val="0"/>
        <w:spacing w:before="0" w:after="0"/>
        <w:jc w:val="both"/>
        <w:rPr>
          <w:rStyle w:val="Nessuno"/>
          <w:rFonts w:ascii="Arial" w:eastAsia="Arial" w:hAnsi="Arial" w:cs="Arial"/>
          <w:sz w:val="22"/>
          <w:szCs w:val="22"/>
        </w:rPr>
      </w:pPr>
      <w:r>
        <w:rPr>
          <w:rStyle w:val="Nessuno"/>
          <w:rFonts w:ascii="Arial" w:hAnsi="Arial"/>
          <w:sz w:val="22"/>
          <w:szCs w:val="22"/>
        </w:rPr>
        <w:t>5.2 - ALTRE CAUSE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Sono esclusi gli operatori economici che abbiano affidato incarichi in violazione dell’articolo 53, comma 16-ter, del </w:t>
      </w:r>
      <w:r>
        <w:rPr>
          <w:rStyle w:val="Nessuno"/>
          <w:rFonts w:ascii="Arial" w:hAnsi="Arial"/>
          <w:sz w:val="22"/>
          <w:szCs w:val="22"/>
          <w:u w:val="single"/>
        </w:rPr>
        <w:t>decreto legislativo del 2001 n. 165</w:t>
      </w:r>
      <w:r>
        <w:rPr>
          <w:rStyle w:val="Nessuno"/>
          <w:rFonts w:ascii="Arial" w:hAnsi="Arial"/>
          <w:sz w:val="22"/>
          <w:szCs w:val="22"/>
        </w:rPr>
        <w:t xml:space="preserve"> a soggetti che hanno esercitato, in qualità di dipendenti, poteri autoritativi o negoziali presso l’amministrazione affidante negli ultimi tre anni.</w:t>
      </w:r>
    </w:p>
    <w:p w:rsidR="00914394" w:rsidRDefault="00000000">
      <w:pPr>
        <w:pStyle w:val="Textbody"/>
        <w:rPr>
          <w:rStyle w:val="Nessuno"/>
          <w:rFonts w:ascii="Arial" w:eastAsia="Arial" w:hAnsi="Arial" w:cs="Arial"/>
          <w:sz w:val="22"/>
          <w:szCs w:val="22"/>
          <w:u w:val="single"/>
        </w:rPr>
      </w:pPr>
      <w:r>
        <w:rPr>
          <w:rStyle w:val="Nessuno"/>
          <w:rFonts w:ascii="Arial" w:hAnsi="Arial"/>
          <w:sz w:val="22"/>
          <w:szCs w:val="22"/>
        </w:rPr>
        <w:t xml:space="preserve">La mancata accettazione delle clausole contenute nel protocollo di legalità/patto di integrità e il mancato rispetto dello stesso costituiscono causa di esclusione dalla gara, ai sensi dell’articolo 83-bis del </w:t>
      </w:r>
      <w:r>
        <w:rPr>
          <w:rStyle w:val="Nessuno"/>
          <w:rFonts w:ascii="Arial" w:hAnsi="Arial"/>
          <w:sz w:val="22"/>
          <w:szCs w:val="22"/>
          <w:u w:val="single"/>
        </w:rPr>
        <w:t>decreto legislativo n. 159/2011.</w:t>
      </w:r>
    </w:p>
    <w:p w:rsidR="00914394" w:rsidRDefault="00914394">
      <w:pPr>
        <w:pStyle w:val="Textbody"/>
        <w:rPr>
          <w:rStyle w:val="Nessuno"/>
          <w:rFonts w:ascii="Arial" w:eastAsia="Arial" w:hAnsi="Arial" w:cs="Arial"/>
          <w:sz w:val="22"/>
          <w:szCs w:val="22"/>
          <w:u w:val="single"/>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 xml:space="preserve">5.3 - ALTRE CAUSE DI ESCLUSIONE AFFERENTI </w:t>
      </w:r>
      <w:proofErr w:type="gramStart"/>
      <w:r>
        <w:rPr>
          <w:rStyle w:val="Nessuno"/>
          <w:rFonts w:ascii="Arial" w:hAnsi="Arial"/>
          <w:b/>
          <w:bCs/>
          <w:sz w:val="22"/>
          <w:szCs w:val="22"/>
        </w:rPr>
        <w:t>GLI</w:t>
      </w:r>
      <w:proofErr w:type="gramEnd"/>
      <w:r>
        <w:rPr>
          <w:rStyle w:val="Nessuno"/>
          <w:rFonts w:ascii="Arial" w:hAnsi="Arial"/>
          <w:b/>
          <w:bCs/>
          <w:sz w:val="22"/>
          <w:szCs w:val="22"/>
        </w:rPr>
        <w:t xml:space="preserve"> INVESTIMENTI PUBBLICI FINANZIATA CON LE RISORSE DEL PIANO NAZIONALE DI RIPRESA E RESILIENZA (PNRR)</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occupano oltre cinquanta dipendenti, che non consegnano, al momento della presentazione dell’offerta,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o di un precedente contratto riservato ai sensi dell’articolo 61 del codice, la relazione di cui all’articolo 47, comma 3 del decreto legge n. 77 del 2021, convertito con modificazioni dalla legge n. 108/2021.</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non allegato la dichiarazione di impegno, in caso di aggiudicazione del contratto, ad assicurare una quota pari al 30 per cento di occupazione giovanile e una quota pari al 30 per cento di occupazione femminile delle assunzioni necessarie per l'esecuzione del contratto o per la realizzazione di </w:t>
      </w:r>
      <w:proofErr w:type="spellStart"/>
      <w:r>
        <w:rPr>
          <w:rStyle w:val="Hyperlink5"/>
          <w:rFonts w:ascii="Arial" w:hAnsi="Arial"/>
          <w:sz w:val="22"/>
          <w:szCs w:val="22"/>
        </w:rPr>
        <w:t>attivita</w:t>
      </w:r>
      <w:proofErr w:type="spellEnd"/>
      <w:r>
        <w:rPr>
          <w:rStyle w:val="Hyperlink5"/>
          <w:rFonts w:ascii="Arial" w:hAnsi="Arial"/>
          <w:sz w:val="22"/>
          <w:szCs w:val="22"/>
        </w:rPr>
        <w:t xml:space="preserve">̀ ad esso connesse o strumentali. </w:t>
      </w:r>
    </w:p>
    <w:p w:rsidR="00914394" w:rsidRDefault="00914394">
      <w:pPr>
        <w:pStyle w:val="Standard"/>
        <w:jc w:val="both"/>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6. REQUISITI DI ORDINE SPECIALE E MEZZI DI PROVA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concorrenti devono essere in possesso, </w:t>
      </w:r>
      <w:r>
        <w:rPr>
          <w:rStyle w:val="Nessuno"/>
          <w:rFonts w:ascii="Arial" w:hAnsi="Arial"/>
          <w:b/>
          <w:bCs/>
          <w:sz w:val="22"/>
          <w:szCs w:val="22"/>
        </w:rPr>
        <w:t>a pena di esclusione</w:t>
      </w:r>
      <w:r>
        <w:rPr>
          <w:rStyle w:val="Nessuno"/>
          <w:rFonts w:ascii="Arial" w:hAnsi="Arial"/>
          <w:sz w:val="22"/>
          <w:szCs w:val="22"/>
        </w:rPr>
        <w:t>, dei requisiti previsti nei commi seguenti.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verifica il possesso dei requisiti di ordine speciale accedendo al fascicolo virtuale dell’operatore economico (FVOE).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rsidR="00914394" w:rsidRDefault="00914394">
      <w:pPr>
        <w:pStyle w:val="Textbody"/>
        <w:rPr>
          <w:rStyle w:val="Nessuno"/>
          <w:rFonts w:ascii="Arial" w:eastAsia="Arial" w:hAnsi="Arial" w:cs="Arial"/>
          <w:sz w:val="22"/>
          <w:szCs w:val="22"/>
        </w:rPr>
      </w:pPr>
    </w:p>
    <w:p w:rsidR="00914394" w:rsidRPr="002F4514" w:rsidRDefault="00000000">
      <w:pPr>
        <w:pStyle w:val="Textbody"/>
        <w:rPr>
          <w:rStyle w:val="Hyperlink5"/>
          <w:rFonts w:ascii="Arial" w:hAnsi="Arial" w:cs="Arial"/>
          <w:b/>
          <w:bCs/>
          <w:sz w:val="22"/>
          <w:szCs w:val="22"/>
        </w:rPr>
      </w:pPr>
      <w:r w:rsidRPr="002F4514">
        <w:rPr>
          <w:rStyle w:val="Nessuno"/>
          <w:rFonts w:ascii="Arial" w:hAnsi="Arial" w:cs="Arial"/>
          <w:b/>
          <w:bCs/>
          <w:sz w:val="22"/>
          <w:szCs w:val="22"/>
        </w:rPr>
        <w:t xml:space="preserve">6.1 </w:t>
      </w:r>
      <w:r w:rsidRPr="002F4514">
        <w:rPr>
          <w:rFonts w:ascii="Arial" w:hAnsi="Arial" w:cs="Arial"/>
          <w:b/>
          <w:bCs/>
          <w:sz w:val="22"/>
          <w:szCs w:val="22"/>
        </w:rPr>
        <w:t>- REQUISITI DI IDONEITÀ PROFESSIONALE</w:t>
      </w:r>
    </w:p>
    <w:p w:rsidR="00914394" w:rsidRDefault="00000000">
      <w:pPr>
        <w:pStyle w:val="Textbody"/>
        <w:numPr>
          <w:ilvl w:val="0"/>
          <w:numId w:val="40"/>
        </w:numPr>
        <w:rPr>
          <w:rFonts w:ascii="Arial" w:hAnsi="Arial"/>
          <w:sz w:val="22"/>
          <w:szCs w:val="22"/>
        </w:rPr>
      </w:pPr>
      <w:r>
        <w:rPr>
          <w:rStyle w:val="Hyperlink5"/>
          <w:rFonts w:ascii="Arial" w:hAnsi="Arial"/>
          <w:sz w:val="22"/>
          <w:szCs w:val="22"/>
        </w:rPr>
        <w:t>Iscrizione nel registro della camera di commercio, industria, artigianato e agricoltura o nel registro delle commissioni provinciali per l’artigianato o presso i competenti ordini professionali per un’attività pertinente anche se non coincidente con l’oggetto dell’appalto. All’operatore economico di altro Stato membro non residente in Italia è richiesto di dichiarare ai sensi del testo unico delle disposizioni legislative e regolamentari in materia di documentazione amministrativa, di cui al decreto del Presidente della Repubblica del 28 dicembre 2000, n. 445, di essere iscritto in uno dei registri professionali o commerciali di cui all’allegato II.11. Ai fini della comprova, l’iscrizione nel Registro è acquisita d’ufficio dalla stazione appaltante tramite il FVOE. Gli operatori stabiliti in altri Stati membri caricano nel fascicolo virtuale i dati e le informazioni utili alla comprova.</w:t>
      </w:r>
    </w:p>
    <w:p w:rsidR="00914394" w:rsidRDefault="00000000">
      <w:pPr>
        <w:pStyle w:val="Textbody"/>
        <w:numPr>
          <w:ilvl w:val="0"/>
          <w:numId w:val="40"/>
        </w:numPr>
        <w:rPr>
          <w:rFonts w:ascii="Arial" w:hAnsi="Arial"/>
          <w:sz w:val="22"/>
          <w:szCs w:val="22"/>
        </w:rPr>
      </w:pPr>
      <w:r>
        <w:rPr>
          <w:rStyle w:val="Hyperlink5"/>
          <w:rFonts w:ascii="Arial" w:hAnsi="Arial"/>
          <w:sz w:val="22"/>
          <w:szCs w:val="22"/>
        </w:rPr>
        <w:t>Essere in possesso della duplice qualità di:</w:t>
      </w:r>
    </w:p>
    <w:p w:rsidR="00914394" w:rsidRDefault="00000000">
      <w:pPr>
        <w:pStyle w:val="Textbody"/>
        <w:numPr>
          <w:ilvl w:val="1"/>
          <w:numId w:val="40"/>
        </w:numPr>
        <w:rPr>
          <w:rFonts w:ascii="Arial" w:hAnsi="Arial"/>
          <w:sz w:val="22"/>
          <w:szCs w:val="22"/>
        </w:rPr>
      </w:pPr>
      <w:r>
        <w:rPr>
          <w:rStyle w:val="Hyperlink5"/>
          <w:rFonts w:ascii="Arial" w:hAnsi="Arial"/>
          <w:sz w:val="22"/>
          <w:szCs w:val="22"/>
        </w:rPr>
        <w:t xml:space="preserve">Agenzia per il Lavoro (APL) iscritta all’Albo tenuto presso il Ministero del Lavoro e delle Politiche Sociali – Sezione 2 e/o all’elenco Unico dei Soggetti Autorizzati all’erogazione dei Servizi per il Lavoro in Sicilia tenuto presso la Regione Siciliana </w:t>
      </w:r>
      <w:r w:rsidR="00485A18">
        <w:rPr>
          <w:rStyle w:val="Hyperlink5"/>
          <w:rFonts w:ascii="Arial" w:hAnsi="Arial"/>
          <w:sz w:val="22"/>
          <w:szCs w:val="22"/>
        </w:rPr>
        <w:t xml:space="preserve">ovvero presso Albo/Elenco equivalente tenuto da altra Regione </w:t>
      </w:r>
      <w:r>
        <w:rPr>
          <w:rStyle w:val="Hyperlink5"/>
          <w:rFonts w:ascii="Arial" w:hAnsi="Arial"/>
          <w:sz w:val="22"/>
          <w:szCs w:val="22"/>
        </w:rPr>
        <w:t xml:space="preserve">e/o all’elenco Unico dei Soggetti Autorizzati all’erogazione dei Servizi per il Lavoro in Sicilia tenuto presso </w:t>
      </w:r>
      <w:r>
        <w:rPr>
          <w:rStyle w:val="Hyperlink5"/>
          <w:rFonts w:ascii="Arial" w:hAnsi="Arial"/>
          <w:sz w:val="22"/>
          <w:szCs w:val="22"/>
        </w:rPr>
        <w:lastRenderedPageBreak/>
        <w:t>la Regione Siciliana ovvero presso Albo/Elenco equivalente;</w:t>
      </w:r>
    </w:p>
    <w:p w:rsidR="00914394" w:rsidRDefault="00000000">
      <w:pPr>
        <w:pStyle w:val="Textbody"/>
        <w:numPr>
          <w:ilvl w:val="1"/>
          <w:numId w:val="40"/>
        </w:numPr>
        <w:rPr>
          <w:rFonts w:ascii="Arial" w:hAnsi="Arial"/>
          <w:sz w:val="22"/>
          <w:szCs w:val="22"/>
        </w:rPr>
      </w:pPr>
      <w:r>
        <w:rPr>
          <w:rStyle w:val="Hyperlink5"/>
          <w:rFonts w:ascii="Arial" w:hAnsi="Arial"/>
          <w:sz w:val="22"/>
          <w:szCs w:val="22"/>
        </w:rPr>
        <w:t xml:space="preserve">Ente di formazione accreditato presso la Regione Siciliana per la macro-tipologia “A- Orientamento” </w:t>
      </w:r>
      <w:r w:rsidRPr="00485A18">
        <w:rPr>
          <w:rStyle w:val="Hyperlink5"/>
          <w:rFonts w:ascii="Arial" w:hAnsi="Arial"/>
          <w:b/>
          <w:bCs/>
          <w:sz w:val="22"/>
          <w:szCs w:val="22"/>
        </w:rPr>
        <w:t>ovvero</w:t>
      </w:r>
      <w:r>
        <w:rPr>
          <w:rStyle w:val="Hyperlink5"/>
          <w:rFonts w:ascii="Arial" w:hAnsi="Arial"/>
          <w:sz w:val="22"/>
          <w:szCs w:val="22"/>
        </w:rPr>
        <w:t xml:space="preserve"> con accreditamento equivalente presso altra Regione</w:t>
      </w:r>
      <w:r w:rsidR="00485A18">
        <w:rPr>
          <w:rStyle w:val="Hyperlink5"/>
          <w:rFonts w:ascii="Arial" w:hAnsi="Arial"/>
          <w:sz w:val="22"/>
          <w:szCs w:val="22"/>
        </w:rPr>
        <w:t xml:space="preserve">, impegnandosi in tal caso a ottenere il pertinente accreditamento presso la Regione Siciliana entro e non oltre 60 gg dalla comunicazione di aggiudicazione, termine massimo entro il quale verrà sottoscritto il Contratto, </w:t>
      </w:r>
      <w:r w:rsidR="00485A18">
        <w:rPr>
          <w:rStyle w:val="Nessuno"/>
          <w:rFonts w:ascii="Arial" w:hAnsi="Arial"/>
          <w:b/>
          <w:bCs/>
          <w:sz w:val="22"/>
          <w:szCs w:val="22"/>
        </w:rPr>
        <w:t>a pena di revoca</w:t>
      </w:r>
      <w:r w:rsidR="00485A18">
        <w:rPr>
          <w:rStyle w:val="Hyperlink5"/>
          <w:rFonts w:ascii="Arial" w:hAnsi="Arial"/>
          <w:sz w:val="22"/>
          <w:szCs w:val="22"/>
        </w:rPr>
        <w:t xml:space="preserve"> dell’aggiudicazione stessa</w:t>
      </w:r>
      <w:r>
        <w:rPr>
          <w:rStyle w:val="Hyperlink5"/>
          <w:rFonts w:ascii="Arial" w:hAnsi="Arial"/>
          <w:sz w:val="22"/>
          <w:szCs w:val="22"/>
        </w:rPr>
        <w:t>;</w:t>
      </w:r>
    </w:p>
    <w:p w:rsidR="00914394" w:rsidRDefault="00000000">
      <w:pPr>
        <w:pStyle w:val="Textbody"/>
        <w:ind w:firstLine="360"/>
        <w:rPr>
          <w:rStyle w:val="Nessuno"/>
          <w:rFonts w:ascii="Arial" w:eastAsia="Arial" w:hAnsi="Arial" w:cs="Arial"/>
          <w:sz w:val="22"/>
          <w:szCs w:val="22"/>
        </w:rPr>
      </w:pPr>
      <w:r>
        <w:rPr>
          <w:rStyle w:val="Nessuno"/>
          <w:rFonts w:ascii="Arial" w:hAnsi="Arial"/>
          <w:sz w:val="22"/>
          <w:szCs w:val="22"/>
        </w:rPr>
        <w:t>Il concorrente, altresì, al momento della partecipazione alla presente procedura deve essere:</w:t>
      </w:r>
    </w:p>
    <w:p w:rsidR="00914394" w:rsidRDefault="00000000">
      <w:pPr>
        <w:pStyle w:val="Textbody"/>
        <w:numPr>
          <w:ilvl w:val="0"/>
          <w:numId w:val="40"/>
        </w:numPr>
        <w:rPr>
          <w:rFonts w:ascii="Arial" w:hAnsi="Arial"/>
          <w:sz w:val="22"/>
          <w:szCs w:val="22"/>
        </w:rPr>
      </w:pPr>
      <w:r>
        <w:rPr>
          <w:rStyle w:val="Hyperlink5"/>
          <w:rFonts w:ascii="Arial" w:hAnsi="Arial"/>
          <w:sz w:val="22"/>
          <w:szCs w:val="22"/>
        </w:rPr>
        <w:t xml:space="preserve">in possesso di sedi accreditate presso le località di realizzazione del servizio per lo svolgimento di attività di orientamento formativo </w:t>
      </w:r>
      <w:r>
        <w:rPr>
          <w:rStyle w:val="Nessuno"/>
          <w:rFonts w:ascii="Arial" w:hAnsi="Arial"/>
          <w:b/>
          <w:bCs/>
          <w:i/>
          <w:iCs/>
          <w:sz w:val="22"/>
          <w:szCs w:val="22"/>
        </w:rPr>
        <w:t>ovvero</w:t>
      </w:r>
      <w:r>
        <w:rPr>
          <w:rStyle w:val="Nessuno"/>
          <w:rFonts w:ascii="Arial" w:hAnsi="Arial"/>
          <w:i/>
          <w:iCs/>
          <w:sz w:val="22"/>
          <w:szCs w:val="22"/>
        </w:rPr>
        <w:t xml:space="preserve"> </w:t>
      </w:r>
      <w:r>
        <w:rPr>
          <w:rStyle w:val="Hyperlink5"/>
          <w:rFonts w:ascii="Arial" w:hAnsi="Arial"/>
          <w:sz w:val="22"/>
          <w:szCs w:val="22"/>
        </w:rPr>
        <w:t xml:space="preserve">impegnarsi, in caso di aggiudicazione, a mettere a disposizione sedi accreditate presso le località di realizzazione del servizio per lo svolgimento di attività di orientamento formativo, dovendovi in tal caso provvedere entro e non oltre 60 gg dalla comunicazione di aggiudicazione, termine massimo entro il quale verrà sottoscritto il Contratto, </w:t>
      </w:r>
      <w:r>
        <w:rPr>
          <w:rStyle w:val="Nessuno"/>
          <w:rFonts w:ascii="Arial" w:hAnsi="Arial"/>
          <w:b/>
          <w:bCs/>
          <w:sz w:val="22"/>
          <w:szCs w:val="22"/>
        </w:rPr>
        <w:t>a pena di revoca</w:t>
      </w:r>
      <w:r>
        <w:rPr>
          <w:rStyle w:val="Hyperlink5"/>
          <w:rFonts w:ascii="Arial" w:hAnsi="Arial"/>
          <w:sz w:val="22"/>
          <w:szCs w:val="22"/>
        </w:rPr>
        <w:t xml:space="preserve"> dell’aggiudicazione stessa. </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6.2 - REQUISITI DI CAPACITÀ ECONOMICA E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 Fatturato globale maturato nel triennio precedente almeno pari al 50% dell’importo a base d’asta.</w:t>
      </w:r>
    </w:p>
    <w:p w:rsidR="00914394" w:rsidRDefault="00000000">
      <w:pPr>
        <w:pStyle w:val="Textbody"/>
        <w:rPr>
          <w:rStyle w:val="Nessuno"/>
          <w:rFonts w:ascii="Arial" w:eastAsia="Arial" w:hAnsi="Arial" w:cs="Arial"/>
          <w:sz w:val="22"/>
          <w:szCs w:val="22"/>
        </w:rPr>
      </w:pPr>
      <w:r>
        <w:rPr>
          <w:rStyle w:val="Nessuno"/>
          <w:rFonts w:ascii="Arial" w:hAnsi="Arial"/>
          <w:sz w:val="22"/>
          <w:szCs w:val="22"/>
          <w:u w:val="single"/>
        </w:rPr>
        <w:t xml:space="preserve">La comprova del requisito </w:t>
      </w:r>
      <w:r>
        <w:rPr>
          <w:rStyle w:val="Nessuno"/>
          <w:rFonts w:ascii="Arial" w:hAnsi="Arial"/>
          <w:sz w:val="22"/>
          <w:szCs w:val="22"/>
        </w:rPr>
        <w:t>è fornita mediante uno dei seguenti documenti:</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 xml:space="preserve">per le società di capitali mediante bilanci, o estratti di essi, approvati alla data di scadenza del termine per la presentazione delle offerte corredati della nota integrativa; </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per gli operatori economici costituiti in forma d’impresa individuale ovvero di società di persone mediante copia del Modello Unico o la Dichiarazione IVA;</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Ove le informazioni sui fatturati non siano disponibili, per le imprese che abbiano iniziato l’attività da meno di tre anni, il requisito di fatturato è rapportato al periodo di attività effettivamente svolto.</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6.3 - INDICAZIONI PER I RAGGRUPPAMENTI TEMPORANEI, CONSORZI ORDINARI, AGGREGAZIONI DI IMPRESE DI RETE, GEIE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soggetti di cui all’articolo 65 comma 2, lettere e), f), g) e h) del Codice devono possedere i requisiti di ordine speciale nei termini di seguito indicati.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Alle aggregazioni di retisti, ai consorzi ordinari ed ai GEIE si applica la disciplina prevista per i raggruppamenti temporanei.</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requisiti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a), b) devono essere posseduti:</w:t>
      </w:r>
    </w:p>
    <w:p w:rsidR="00914394" w:rsidRDefault="00000000">
      <w:pPr>
        <w:pStyle w:val="Textbody"/>
        <w:numPr>
          <w:ilvl w:val="0"/>
          <w:numId w:val="44"/>
        </w:numPr>
        <w:rPr>
          <w:rFonts w:ascii="Arial" w:hAnsi="Arial"/>
          <w:sz w:val="22"/>
          <w:szCs w:val="22"/>
        </w:rPr>
      </w:pPr>
      <w:r>
        <w:rPr>
          <w:rStyle w:val="Hyperlink5"/>
          <w:rFonts w:ascii="Arial" w:hAnsi="Arial"/>
          <w:sz w:val="22"/>
          <w:szCs w:val="22"/>
        </w:rPr>
        <w:t>da ciascun componente del raggruppamento/consorzio/GEIE anche da costituire, nonché dal GEIE medesimo;</w:t>
      </w:r>
    </w:p>
    <w:p w:rsidR="00914394" w:rsidRDefault="00000000">
      <w:pPr>
        <w:pStyle w:val="Textbody"/>
        <w:numPr>
          <w:ilvl w:val="0"/>
          <w:numId w:val="44"/>
        </w:numPr>
        <w:rPr>
          <w:rFonts w:ascii="Arial" w:hAnsi="Arial"/>
          <w:sz w:val="22"/>
          <w:szCs w:val="22"/>
        </w:rPr>
      </w:pPr>
      <w:r>
        <w:rPr>
          <w:rStyle w:val="Hyperlink5"/>
          <w:rFonts w:ascii="Arial" w:hAnsi="Arial"/>
          <w:sz w:val="22"/>
          <w:szCs w:val="22"/>
        </w:rPr>
        <w:t>da ciascun componente dell’aggregazione di rete nonché dall’organo comune nel caso in cui questi abbia soggettività giuridica.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Il requisito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c) deve essere deve essere soddisfatto dal raggruppamento/consorzio/GEIE anche da costituire nel suo complesso.</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capacità economico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requisito relativo al fatturato globale di cui al paragrafo 6.2 deve essere soddisfatto dal raggruppamento temporaneo nel suo complesso.</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6.4 - INDICAZIONI SUI REQUISITI SPECIALI NEI CONSORZI DI COOPERATIVE, CONSORZI DI IMPRESE ARTIGIANE E I CONSORZI STABILI</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requisiti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a), b) devono essere posseduti dal consorzio e dai consorziati indicati come esecutori.</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capacità economico-finanziaria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consorzi di cui all’articolo 65, comma 2 lettere b) e c) del Codice utilizzano i requisiti propri e, nel novero di questi, fanno valere i mezzi nella disponibilità delle consorziate che li costituiscono.</w:t>
      </w:r>
    </w:p>
    <w:p w:rsidR="00914394" w:rsidRDefault="00000000">
      <w:pPr>
        <w:pStyle w:val="Textbody"/>
        <w:rPr>
          <w:rStyle w:val="Nessuno"/>
          <w:rFonts w:ascii="Arial" w:eastAsia="Arial" w:hAnsi="Arial" w:cs="Arial"/>
          <w:b/>
          <w:bCs/>
          <w:sz w:val="22"/>
          <w:szCs w:val="22"/>
        </w:rPr>
      </w:pPr>
      <w:r>
        <w:rPr>
          <w:rStyle w:val="Nessuno"/>
          <w:rFonts w:ascii="Arial" w:hAnsi="Arial"/>
          <w:sz w:val="22"/>
          <w:szCs w:val="22"/>
        </w:rPr>
        <w:lastRenderedPageBreak/>
        <w:t>Per i consorzi di cui all’articolo 65, comma 2, lettera d) del Codice, i requisiti di capacità economica e finanziaria sono computati cumulativamente in capo al consorzio ancorché posseduti dalle singole consorziate.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7.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può avvalersi di dotazioni tecniche, risorse umane e strumentali messe a disposizione da uno o più operatori economici ausiliari per dimostrare il possesso dei requisiti di ordine speciale di cui al paragrafo 6 e/o per migliorare la propria offerta.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Nei casi in cui l’avvalimento sia finalizzato a migliorare l’offerta, non è consentito che alla stessa gara partecipino sia l’ausiliario che l’operatore che si avvale delle risorse da questo a messe a disposizione, pena l’esclusione di entrambi i soggetti.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Ai sensi dell’articolo 372, comma 4 del codice della crisi di impresa e dell’insolvenza, per la partecipazione alla presente procedura tra il momento del deposito della domanda di cui all’articolo 40 del succitato codice e il momento del deposito del decreto previsto dall'articolo 47 del codice medesimo è sempre necessario l'avvalimento dei requisiti di un altro soggetto. L’avvalimento non è necessario in caso di ammissione al concordato preventivo.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e l’ausiliario sono responsabili in solido nei confronti della stazione appaltante in relazione alle prestazioni oggetto del contratto.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è consentito l’avvalimento per soddisfare i requisiti di ordine generale e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L’ausiliaria deve:</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possedere i requisiti di capacità generale di cui al paragrafo 5 e dichiararli presentando un proprio DGUE, da compilare nelle parti pertinenti;</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possedere i requisiti di cui al paragrafo 6 oggetto di avvalimento e dichiararli nel proprio DGUE, da compilare nelle parti pertinenti;</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impegnarsi, verso il concorrente che si avvale e verso la stazione appaltante, a mettere a disposizione, per tutta la durata dell’appalto, le risorse (riferite a requisiti di partecipazione e/o premiali) oggetto di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produce:</w:t>
      </w:r>
    </w:p>
    <w:p w:rsidR="00914394" w:rsidRDefault="00000000">
      <w:pPr>
        <w:pStyle w:val="Textbody"/>
        <w:numPr>
          <w:ilvl w:val="0"/>
          <w:numId w:val="48"/>
        </w:numPr>
        <w:rPr>
          <w:rFonts w:ascii="Arial" w:hAnsi="Arial"/>
          <w:sz w:val="22"/>
          <w:szCs w:val="22"/>
        </w:rPr>
      </w:pPr>
      <w:r>
        <w:rPr>
          <w:rStyle w:val="Hyperlink5"/>
          <w:rFonts w:ascii="Arial" w:hAnsi="Arial"/>
          <w:sz w:val="22"/>
          <w:szCs w:val="22"/>
        </w:rPr>
        <w:t>le dichiarazioni dell’ausiliaria, allegate alla domanda di partecipazione;</w:t>
      </w:r>
    </w:p>
    <w:p w:rsidR="00914394" w:rsidRDefault="00000000">
      <w:pPr>
        <w:pStyle w:val="Textbody"/>
        <w:numPr>
          <w:ilvl w:val="0"/>
          <w:numId w:val="48"/>
        </w:numPr>
        <w:rPr>
          <w:rFonts w:ascii="Arial" w:hAnsi="Arial"/>
          <w:sz w:val="22"/>
          <w:szCs w:val="22"/>
        </w:rPr>
      </w:pPr>
      <w:r>
        <w:rPr>
          <w:rStyle w:val="Hyperlink5"/>
          <w:rFonts w:ascii="Arial" w:hAnsi="Arial"/>
          <w:sz w:val="22"/>
          <w:szCs w:val="22"/>
        </w:rPr>
        <w:t>il contratto di avvalimento che deve essere firmato digitalmente dalle parti, allegato:</w:t>
      </w:r>
    </w:p>
    <w:p w:rsidR="00914394" w:rsidRDefault="00000000">
      <w:pPr>
        <w:pStyle w:val="Textbody"/>
        <w:numPr>
          <w:ilvl w:val="0"/>
          <w:numId w:val="48"/>
        </w:numPr>
        <w:rPr>
          <w:rFonts w:ascii="Arial" w:hAnsi="Arial"/>
          <w:sz w:val="22"/>
          <w:szCs w:val="22"/>
        </w:rPr>
      </w:pPr>
      <w:r>
        <w:rPr>
          <w:rStyle w:val="Nessuno"/>
          <w:rFonts w:ascii="Arial" w:hAnsi="Arial"/>
          <w:sz w:val="22"/>
          <w:szCs w:val="22"/>
          <w:u w:val="single"/>
        </w:rPr>
        <w:t>alla domanda di partecipazione</w:t>
      </w:r>
      <w:r>
        <w:rPr>
          <w:rStyle w:val="Hyperlink5"/>
          <w:rFonts w:ascii="Arial" w:hAnsi="Arial"/>
          <w:sz w:val="22"/>
          <w:szCs w:val="22"/>
        </w:rPr>
        <w:t>, nel caso di avvalimento finalizzato ad acquisire un requisito di partecipazione;</w:t>
      </w:r>
    </w:p>
    <w:p w:rsidR="00914394" w:rsidRDefault="00000000">
      <w:pPr>
        <w:pStyle w:val="Textbody"/>
        <w:numPr>
          <w:ilvl w:val="0"/>
          <w:numId w:val="48"/>
        </w:numPr>
        <w:rPr>
          <w:rFonts w:ascii="Arial" w:hAnsi="Arial"/>
          <w:sz w:val="22"/>
          <w:szCs w:val="22"/>
        </w:rPr>
      </w:pPr>
      <w:r>
        <w:rPr>
          <w:rStyle w:val="Nessuno"/>
          <w:rFonts w:ascii="Arial" w:hAnsi="Arial"/>
          <w:sz w:val="22"/>
          <w:szCs w:val="22"/>
          <w:u w:val="single"/>
        </w:rPr>
        <w:t>all’offerta tecnica</w:t>
      </w:r>
      <w:r>
        <w:rPr>
          <w:rStyle w:val="Hyperlink5"/>
          <w:rFonts w:ascii="Arial" w:hAnsi="Arial"/>
          <w:sz w:val="22"/>
          <w:szCs w:val="22"/>
        </w:rPr>
        <w:t>, nel caso in cui l’avvalimento sia finalizzato a migliorare l’offerta o sia a migliorare l’offerta che ad acquisire un requisito di partecipazione.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È sanabile, mediante soccorso istruttorio, la mancata produzione delle dichiarazioni dell’ausiliaria.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È sanabile, mediante soccorso istruttorio, la mancata produzione del contratto di avvalimento a condizione che il contratto sia stato stipulato prima del termine di presentazione dell’offerta e che tale circostanza sia comprovabile con data certa.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è sanabile la mancata indicazione delle risorse messe a disposizione dall’ausiliario in quanto causa di nullità del contratto di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Qualora per l’ausiliario sussistano motivi di esclusione o laddove esso non soddisfi i requisiti di ordine speciale, il concorrente sostituisce l’ausiliario entro sette giorni decorrenti dal ricevimento della richiesta da parte della stazione appaltante. Contestualmente il concorrente produce i documenti richiesti per l’avvalimento.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l’ausiliario si sia reso responsabile di una falsa dichiarazione sul possesso dei requisiti, la stazione appaltante procede a segnalare all’Autorità nazionale anticorruzione il comportamento tenuto dall’ausiliario per consentire le valutazioni di cui all’articolo 96, comma 15, del Codice. L’operatore economico può indicare un altro ausiliario nel termine di dieci giorni, pena l’esclusione dalla procedura negoziata. La sostituzione può essere effettuata soltanto nel caso in cui non conduca a una modifica sostanziale dell’offerta. Il mancato rispetto del termine assegnato per la sostituzione comporta l’esclusione del concorrente.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8. SUBAPPALTO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soggetto aggiudicatario del contratto esegue in proprio le opere o i lavori, i servizi e le forniture compresi nel contratto stesso. Fatto salvo quanto previsto dall’articolo 120, comma 1, lettera d) del Codice, la cessione del contratto è nulla. È altresì nullo l’accordo con cui a terzi sia affidata l’integrale esecuzione delle prestazioni appaltate.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È ammesso il subappalto secondo le disposizioni dell’art. 119 del D.lgs. 36/2023, previa autorizzazione della Stazione Appaltante a condizione che:</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il subappaltatore sia qualificato per le lavorazioni o le prestazioni da eseguire;</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non sussistano a suo carico le cause di esclusione di cui al Capo II del Titolo IV della Parte V del presente Libro;</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all’atto dell’offerta siano stati indicati i lavori o le parti di opere ovvero i servizi e le forniture o parti di servizi e forniture che si intende subappaltare.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pertanto, è tenuto a indicare, nel DGUE, le prestazioni che intende subappaltare o concedere in cottimo. In caso di mancata indicazione, il subappalto è vietato.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L’aggiudicatario e il subappaltatore sono responsabili in solido nei confronti della stazione appaltante dell’esecuzione delle prestazioni oggetto del contratto di subappalto.</w:t>
      </w:r>
    </w:p>
    <w:p w:rsidR="00914394" w:rsidRDefault="00914394">
      <w:pPr>
        <w:pStyle w:val="Textbody"/>
        <w:rPr>
          <w:rStyle w:val="Nessuno"/>
          <w:rFonts w:ascii="Arial" w:eastAsia="Arial" w:hAnsi="Arial" w:cs="Arial"/>
          <w:sz w:val="22"/>
          <w:szCs w:val="22"/>
        </w:rPr>
      </w:pPr>
    </w:p>
    <w:p w:rsidR="00914394" w:rsidRDefault="00000000">
      <w:pPr>
        <w:pStyle w:val="Standard"/>
        <w:keepNext/>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9. CONDIZIONI DI ESECUZIONE</w:t>
      </w:r>
    </w:p>
    <w:p w:rsidR="00914394" w:rsidRDefault="00000000">
      <w:pPr>
        <w:jc w:val="both"/>
        <w:rPr>
          <w:rStyle w:val="Nessuno"/>
          <w:rFonts w:ascii="Arial" w:eastAsia="Arial" w:hAnsi="Arial" w:cs="Arial"/>
          <w:sz w:val="22"/>
          <w:szCs w:val="22"/>
        </w:rPr>
      </w:pPr>
      <w:r>
        <w:rPr>
          <w:rStyle w:val="Nessuno"/>
          <w:rFonts w:ascii="Arial" w:hAnsi="Arial"/>
          <w:sz w:val="22"/>
          <w:szCs w:val="22"/>
        </w:rPr>
        <w:t xml:space="preserve">L’aggiudicatario è </w:t>
      </w:r>
      <w:r>
        <w:rPr>
          <w:rStyle w:val="Nessuno"/>
          <w:rFonts w:ascii="Arial" w:hAnsi="Arial"/>
          <w:b/>
          <w:bCs/>
          <w:sz w:val="22"/>
          <w:szCs w:val="22"/>
        </w:rPr>
        <w:t>tenuto a garantire</w:t>
      </w:r>
      <w:r>
        <w:rPr>
          <w:rStyle w:val="Nessuno"/>
          <w:rFonts w:ascii="Arial" w:hAnsi="Arial"/>
          <w:sz w:val="22"/>
          <w:szCs w:val="22"/>
        </w:rPr>
        <w:t xml:space="preserve"> l’applicazione del contratto collettivo nazionale e territoriale di cui al punto 3, oppure di un altro contratto che garantisca le stesse tutele economiche e normative per i propri lavoratori e per quelli in subappalto.</w:t>
      </w:r>
    </w:p>
    <w:p w:rsidR="00914394" w:rsidRDefault="00000000">
      <w:pPr>
        <w:jc w:val="both"/>
        <w:rPr>
          <w:rStyle w:val="Nessuno"/>
          <w:rFonts w:ascii="Arial" w:eastAsia="Arial" w:hAnsi="Arial" w:cs="Arial"/>
          <w:sz w:val="22"/>
          <w:szCs w:val="22"/>
        </w:rPr>
      </w:pPr>
      <w:r>
        <w:rPr>
          <w:rStyle w:val="Nessuno"/>
          <w:rFonts w:ascii="Arial" w:hAnsi="Arial"/>
          <w:sz w:val="22"/>
          <w:szCs w:val="22"/>
        </w:rPr>
        <w:t xml:space="preserve">In caso di aggiudicazione del servizio, il concorrente si impegna, </w:t>
      </w:r>
      <w:r>
        <w:rPr>
          <w:rStyle w:val="Nessuno"/>
          <w:rFonts w:ascii="Arial" w:hAnsi="Arial"/>
          <w:b/>
          <w:bCs/>
          <w:sz w:val="22"/>
          <w:szCs w:val="22"/>
        </w:rPr>
        <w:t>a pena di esclusione</w:t>
      </w:r>
      <w:r>
        <w:rPr>
          <w:rStyle w:val="Nessuno"/>
          <w:rFonts w:ascii="Arial" w:hAnsi="Arial"/>
          <w:sz w:val="22"/>
          <w:szCs w:val="22"/>
        </w:rPr>
        <w:t>:</w:t>
      </w:r>
    </w:p>
    <w:p w:rsidR="00914394" w:rsidRDefault="00000000">
      <w:pPr>
        <w:pStyle w:val="Paragrafoelenco"/>
        <w:numPr>
          <w:ilvl w:val="0"/>
          <w:numId w:val="52"/>
        </w:numPr>
        <w:suppressAutoHyphens w:val="0"/>
        <w:jc w:val="both"/>
        <w:rPr>
          <w:rFonts w:ascii="Arial" w:hAnsi="Arial"/>
          <w:sz w:val="22"/>
          <w:szCs w:val="22"/>
        </w:rPr>
      </w:pPr>
      <w:r>
        <w:rPr>
          <w:rStyle w:val="Nessuno"/>
          <w:rFonts w:ascii="Arial" w:hAnsi="Arial"/>
          <w:b/>
          <w:bCs/>
          <w:sz w:val="22"/>
          <w:szCs w:val="22"/>
        </w:rPr>
        <w:t>ad assicurare</w:t>
      </w:r>
      <w:r>
        <w:rPr>
          <w:rStyle w:val="Hyperlink5"/>
          <w:rFonts w:ascii="Arial" w:hAnsi="Arial"/>
          <w:sz w:val="22"/>
          <w:szCs w:val="22"/>
        </w:rPr>
        <w:t xml:space="preserve"> una quota pari al 30% delle assunzioni necessarie di occupazione giovanile e una quota pari al 30% per cento di occupazione femminile per l’esecuzione del contratto o per la realizzazione di attività ad esso connesse o strumentali [</w:t>
      </w:r>
      <w:r>
        <w:rPr>
          <w:rStyle w:val="Nessuno"/>
          <w:rFonts w:ascii="Arial" w:hAnsi="Arial"/>
          <w:i/>
          <w:iCs/>
          <w:sz w:val="22"/>
          <w:szCs w:val="22"/>
        </w:rPr>
        <w:t>calcolate secondo le modalità di cui alle linee 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dell’articolo 1, comma 8, dell’allegato II.3 al codice. Vedi anche D.P.C.M. del 20 giugno 2023 avente ad oggetto “Linee guida volte a favorire le pari opportunità generazionali e di genere, nonché l’inclusione lavorativa delle persone con disabilità nei contratti riservati</w:t>
      </w:r>
      <w:r>
        <w:rPr>
          <w:rStyle w:val="Hyperlink5"/>
          <w:rFonts w:ascii="Arial" w:hAnsi="Arial"/>
          <w:sz w:val="22"/>
          <w:szCs w:val="22"/>
        </w:rPr>
        <w:t>].</w:t>
      </w:r>
    </w:p>
    <w:p w:rsidR="00914394" w:rsidRDefault="00000000">
      <w:pPr>
        <w:pStyle w:val="Paragrafoelenco"/>
        <w:numPr>
          <w:ilvl w:val="0"/>
          <w:numId w:val="52"/>
        </w:numPr>
        <w:suppressAutoHyphens w:val="0"/>
        <w:jc w:val="both"/>
        <w:rPr>
          <w:rFonts w:ascii="Arial" w:hAnsi="Arial"/>
          <w:sz w:val="22"/>
          <w:szCs w:val="22"/>
        </w:rPr>
      </w:pPr>
      <w:r>
        <w:rPr>
          <w:rStyle w:val="Hyperlink5"/>
          <w:rFonts w:ascii="Arial" w:hAnsi="Arial"/>
          <w:sz w:val="22"/>
          <w:szCs w:val="22"/>
        </w:rPr>
        <w:t xml:space="preserve">Per gli operatori economici che occupano un numero pari o superiore a quindici dipendenti e non superiore a cinquanta, non tenuti alla redazione del rapporto sulla situazione del personale, ai sensi dell’articolo 46 del </w:t>
      </w:r>
      <w:r>
        <w:rPr>
          <w:rStyle w:val="Nessuno"/>
          <w:rFonts w:ascii="Arial" w:hAnsi="Arial"/>
          <w:sz w:val="22"/>
          <w:szCs w:val="22"/>
          <w:u w:val="single"/>
        </w:rPr>
        <w:t>decreto legislativo 11 aprile 2006, n. 198</w:t>
      </w:r>
      <w:r>
        <w:rPr>
          <w:rStyle w:val="Hyperlink5"/>
          <w:rFonts w:ascii="Arial" w:hAnsi="Arial"/>
          <w:sz w:val="22"/>
          <w:szCs w:val="22"/>
        </w:rPr>
        <w:t xml:space="preserve">: entro sei mesi dalla conclusione del contratto, </w:t>
      </w:r>
      <w:r>
        <w:rPr>
          <w:rStyle w:val="Nessuno"/>
          <w:rFonts w:ascii="Arial" w:hAnsi="Arial"/>
          <w:b/>
          <w:bCs/>
          <w:sz w:val="22"/>
          <w:szCs w:val="22"/>
        </w:rPr>
        <w:t>a consegnare</w:t>
      </w:r>
      <w:r>
        <w:rPr>
          <w:rStyle w:val="Hyperlink5"/>
          <w:rFonts w:ascii="Arial" w:hAnsi="Arial"/>
          <w:sz w:val="22"/>
          <w:szCs w:val="22"/>
        </w:rPr>
        <w:t xml:space="preserv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rsidR="00914394" w:rsidRDefault="00000000">
      <w:pPr>
        <w:pStyle w:val="Paragrafoelenco"/>
        <w:numPr>
          <w:ilvl w:val="0"/>
          <w:numId w:val="52"/>
        </w:numPr>
        <w:suppressAutoHyphens w:val="0"/>
        <w:jc w:val="both"/>
        <w:rPr>
          <w:rFonts w:ascii="Arial" w:hAnsi="Arial"/>
          <w:sz w:val="22"/>
          <w:szCs w:val="22"/>
        </w:rPr>
      </w:pPr>
      <w:r>
        <w:rPr>
          <w:rStyle w:val="Hyperlink5"/>
          <w:rFonts w:ascii="Arial" w:hAnsi="Arial"/>
          <w:sz w:val="22"/>
          <w:szCs w:val="22"/>
        </w:rPr>
        <w:t xml:space="preserve">Gli operatori economici che occupano un numero pari o superiore a quindici dipendenti sono tenuti, entro sei mesi dalla conclusione del contratto, </w:t>
      </w:r>
      <w:r>
        <w:rPr>
          <w:rStyle w:val="Nessuno"/>
          <w:rFonts w:ascii="Arial" w:hAnsi="Arial"/>
          <w:b/>
          <w:bCs/>
          <w:sz w:val="22"/>
          <w:szCs w:val="22"/>
        </w:rPr>
        <w:t>a consegnare</w:t>
      </w:r>
      <w:r>
        <w:rPr>
          <w:rStyle w:val="Hyperlink5"/>
          <w:rFonts w:ascii="Arial" w:hAnsi="Arial"/>
          <w:sz w:val="22"/>
          <w:szCs w:val="22"/>
        </w:rPr>
        <w:t xml:space="preserv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rsidR="00914394" w:rsidRDefault="00000000">
      <w:pPr>
        <w:jc w:val="both"/>
        <w:rPr>
          <w:rStyle w:val="Nessuno"/>
          <w:rFonts w:ascii="Arial" w:eastAsia="Arial" w:hAnsi="Arial" w:cs="Arial"/>
          <w:sz w:val="22"/>
          <w:szCs w:val="22"/>
        </w:rPr>
      </w:pPr>
      <w:r>
        <w:rPr>
          <w:rStyle w:val="Nessuno"/>
          <w:rFonts w:ascii="Arial" w:hAnsi="Arial"/>
          <w:sz w:val="22"/>
          <w:szCs w:val="22"/>
        </w:rPr>
        <w:t>L’Ente Committente, ove ne ricorrano le condizioni, si riserva la facoltà di riconoscere all’appaltatore, previa richiesta, un'anticipazione del corrispettivo fino al 30% dell’importo contrattuale, in accordo a quanto previsto dalla normativa vigente. In tal caso, l’anticipazione potrà essere erogata alla costituzione delle necessarie garanzie fideiussorie previste, conformemente alle disposizioni di legge</w:t>
      </w:r>
      <w:r w:rsidR="00D1674F">
        <w:rPr>
          <w:rStyle w:val="Nessuno"/>
          <w:rFonts w:ascii="Arial" w:hAnsi="Arial"/>
          <w:sz w:val="22"/>
          <w:szCs w:val="22"/>
        </w:rPr>
        <w:t>.</w:t>
      </w:r>
    </w:p>
    <w:p w:rsidR="00914394" w:rsidRDefault="00914394">
      <w:pPr>
        <w:pStyle w:val="Standard"/>
        <w:widowControl w:val="0"/>
        <w:jc w:val="both"/>
        <w:rPr>
          <w:rStyle w:val="Nessuno"/>
          <w:rFonts w:ascii="Arial" w:eastAsia="Arial" w:hAnsi="Arial" w:cs="Arial"/>
          <w:i/>
          <w:iCs/>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10. GARANZIA PROVVISORIA</w:t>
      </w:r>
    </w:p>
    <w:p w:rsidR="00914394" w:rsidRDefault="00000000" w:rsidP="00D45540">
      <w:pPr>
        <w:pStyle w:val="Paragrafoelenco1"/>
        <w:spacing w:after="0" w:line="240" w:lineRule="auto"/>
        <w:ind w:left="0"/>
        <w:jc w:val="both"/>
        <w:rPr>
          <w:rStyle w:val="Nessuno"/>
          <w:rFonts w:ascii="Arial" w:eastAsia="Arial" w:hAnsi="Arial" w:cs="Arial"/>
        </w:rPr>
      </w:pPr>
      <w:r>
        <w:rPr>
          <w:rStyle w:val="Nessuno"/>
          <w:rFonts w:ascii="Arial" w:hAnsi="Arial"/>
        </w:rPr>
        <w:lastRenderedPageBreak/>
        <w:t>L’offerta</w:t>
      </w:r>
      <w:r>
        <w:rPr>
          <w:rStyle w:val="Nessuno"/>
          <w:rFonts w:ascii="Arial" w:hAnsi="Arial"/>
          <w:i/>
          <w:iCs/>
          <w:color w:val="FF0000"/>
          <w:u w:color="FF0000"/>
        </w:rPr>
        <w:t xml:space="preserve"> </w:t>
      </w:r>
      <w:r>
        <w:rPr>
          <w:rStyle w:val="Nessuno"/>
          <w:rFonts w:ascii="Arial" w:hAnsi="Arial"/>
        </w:rPr>
        <w:t xml:space="preserve">è corredata, a pena di esclusione, da una garanzia provvisoria pari al 1% del valore complessivo dell’appalto a favore della </w:t>
      </w:r>
      <w:r w:rsidR="00D45540">
        <w:rPr>
          <w:rFonts w:ascii="Arial" w:hAnsi="Arial"/>
        </w:rPr>
        <w:t xml:space="preserve">I.T.S. Academy Fondazione Archimede con sede in Siracusa, via Modica n. 66, C. F. 93064530897. </w:t>
      </w:r>
      <w:r>
        <w:rPr>
          <w:rStyle w:val="Nessuno"/>
          <w:rFonts w:ascii="Arial" w:hAnsi="Arial"/>
        </w:rPr>
        <w:t>La garanzia provvisoria è costituita, a scelta del concorrente sotto forma di cauzione o di fideiussione con le modalità di cui all’art. 106 del D.lgs. 36/2023.</w:t>
      </w:r>
    </w:p>
    <w:p w:rsidR="00914394" w:rsidRDefault="00000000">
      <w:pPr>
        <w:widowControl w:val="0"/>
        <w:jc w:val="both"/>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La cauzione può anche essere costituita mediante accredito, con bonifico o con altri strumenti e canali di pagamento elettronici, presso il Conto</w:t>
      </w:r>
      <w:r w:rsidR="00D45540">
        <w:rPr>
          <w:rStyle w:val="Nessuno"/>
          <w:rFonts w:ascii="Arial" w:hAnsi="Arial"/>
          <w:sz w:val="22"/>
          <w:szCs w:val="22"/>
          <w:shd w:val="clear" w:color="auto" w:fill="FEFFFF"/>
        </w:rPr>
        <w:t xml:space="preserve"> Corrente intestato alla</w:t>
      </w:r>
      <w:r w:rsidR="00D45540">
        <w:rPr>
          <w:rFonts w:ascii="Arial" w:hAnsi="Arial"/>
          <w:sz w:val="22"/>
          <w:szCs w:val="22"/>
        </w:rPr>
        <w:t xml:space="preserve"> I.T.S. Academy Fondazione Archimede </w:t>
      </w:r>
      <w:r w:rsidR="00D45540">
        <w:rPr>
          <w:rStyle w:val="Nessuno"/>
          <w:rFonts w:ascii="Arial" w:hAnsi="Arial"/>
          <w:sz w:val="22"/>
          <w:szCs w:val="22"/>
          <w:shd w:val="clear" w:color="auto" w:fill="FEFFFF"/>
        </w:rPr>
        <w:t xml:space="preserve">acceso presso la </w:t>
      </w:r>
      <w:r w:rsidR="00D45540" w:rsidRPr="00D45540">
        <w:rPr>
          <w:rFonts w:ascii="Arial" w:hAnsi="Arial"/>
          <w:sz w:val="22"/>
          <w:szCs w:val="22"/>
          <w:shd w:val="clear" w:color="auto" w:fill="FEFFFF"/>
        </w:rPr>
        <w:t xml:space="preserve">Banca Agricola Popolare di Ragusa </w:t>
      </w:r>
      <w:proofErr w:type="spellStart"/>
      <w:r w:rsidR="00D45540" w:rsidRPr="00D45540">
        <w:rPr>
          <w:rFonts w:ascii="Arial" w:hAnsi="Arial"/>
          <w:sz w:val="22"/>
          <w:szCs w:val="22"/>
          <w:shd w:val="clear" w:color="auto" w:fill="FEFFFF"/>
        </w:rPr>
        <w:t>SCpA</w:t>
      </w:r>
      <w:proofErr w:type="spellEnd"/>
      <w:r>
        <w:rPr>
          <w:rStyle w:val="Nessuno"/>
          <w:rFonts w:ascii="Arial" w:hAnsi="Arial"/>
          <w:sz w:val="22"/>
          <w:szCs w:val="22"/>
          <w:shd w:val="clear" w:color="auto" w:fill="FEFFFF"/>
        </w:rPr>
        <w:t xml:space="preserve"> </w:t>
      </w:r>
      <w:r w:rsidR="00D45540">
        <w:rPr>
          <w:rStyle w:val="Nessuno"/>
          <w:rFonts w:ascii="Arial" w:hAnsi="Arial"/>
          <w:sz w:val="22"/>
          <w:szCs w:val="22"/>
          <w:shd w:val="clear" w:color="auto" w:fill="FEFFFF"/>
        </w:rPr>
        <w:t>avente</w:t>
      </w:r>
      <w:r>
        <w:rPr>
          <w:rStyle w:val="Nessuno"/>
          <w:rFonts w:ascii="Arial" w:hAnsi="Arial"/>
          <w:sz w:val="22"/>
          <w:szCs w:val="22"/>
          <w:shd w:val="clear" w:color="auto" w:fill="FEFFFF"/>
        </w:rPr>
        <w:t xml:space="preserve"> il seguente codice IBAN: IT</w:t>
      </w:r>
      <w:r w:rsidR="00D45540">
        <w:rPr>
          <w:rStyle w:val="Nessuno"/>
          <w:rFonts w:ascii="Arial" w:hAnsi="Arial"/>
          <w:sz w:val="22"/>
          <w:szCs w:val="22"/>
          <w:shd w:val="clear" w:color="auto" w:fill="FEFFFF"/>
        </w:rPr>
        <w:t>87G0503617100CC0351252939</w:t>
      </w:r>
      <w:r>
        <w:rPr>
          <w:rStyle w:val="Nessuno"/>
          <w:rFonts w:ascii="Arial" w:hAnsi="Arial"/>
          <w:sz w:val="22"/>
          <w:szCs w:val="22"/>
          <w:shd w:val="clear" w:color="auto" w:fill="FEFFFF"/>
        </w:rPr>
        <w:t xml:space="preserve">, indicando come causale che trattasi di garanzia provvisoria per l’appalto in oggetto, indicando anche il codice CIG. </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fideiussione può essere rilasciata: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da imprese bancarie o assicurative che rispondono ai requisiti di solvibilità previsti dalle leggi che ne disciplinano le rispettive attività;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 da un intermediario finanziario iscritto nell'albo di cui all’articolo 106 del decreto legislativo </w:t>
      </w:r>
      <w:proofErr w:type="gramStart"/>
      <w:r>
        <w:rPr>
          <w:rStyle w:val="Nessuno"/>
          <w:rFonts w:ascii="Arial" w:hAnsi="Arial"/>
          <w:sz w:val="22"/>
          <w:szCs w:val="22"/>
        </w:rPr>
        <w:t>1 settembre</w:t>
      </w:r>
      <w:proofErr w:type="gramEnd"/>
      <w:r>
        <w:rPr>
          <w:rStyle w:val="Nessuno"/>
          <w:rFonts w:ascii="Arial" w:hAnsi="Arial"/>
          <w:sz w:val="22"/>
          <w:szCs w:val="22"/>
        </w:rPr>
        <w:t xml:space="preserve"> 1993, n. 385, che svolge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Gli operatori economici, prima di procedere alla sottoscrizione della garanzia, sono tenuti a verificare che il soggetto garante sia in possesso dell’autorizzazione al rilascio di garanzie mediante accesso ai seguenti siti internet:</w:t>
      </w:r>
    </w:p>
    <w:p w:rsidR="00914394" w:rsidRDefault="00914394">
      <w:pPr>
        <w:pStyle w:val="Textbody"/>
        <w:rPr>
          <w:rStyle w:val="Nessuno"/>
          <w:rFonts w:ascii="Arial" w:eastAsia="Arial" w:hAnsi="Arial" w:cs="Arial"/>
          <w:sz w:val="22"/>
          <w:szCs w:val="22"/>
        </w:rPr>
      </w:pPr>
      <w:hyperlink r:id="rId18" w:history="1">
        <w:r>
          <w:rPr>
            <w:rStyle w:val="Hyperlink3"/>
          </w:rPr>
          <w:t>http://www.bancaditalia.it/compiti/vigilanza/intermediari/index.html</w:t>
        </w:r>
      </w:hyperlink>
      <w:r>
        <w:rPr>
          <w:rStyle w:val="Nessuno"/>
          <w:rFonts w:ascii="Arial" w:hAnsi="Arial"/>
          <w:sz w:val="22"/>
          <w:szCs w:val="22"/>
        </w:rPr>
        <w:t xml:space="preserve"> </w:t>
      </w:r>
    </w:p>
    <w:p w:rsidR="00914394" w:rsidRDefault="00914394">
      <w:pPr>
        <w:pStyle w:val="Textbody"/>
        <w:rPr>
          <w:rStyle w:val="Nessuno"/>
          <w:rFonts w:ascii="Arial" w:eastAsia="Arial" w:hAnsi="Arial" w:cs="Arial"/>
          <w:sz w:val="22"/>
          <w:szCs w:val="22"/>
        </w:rPr>
      </w:pPr>
      <w:hyperlink r:id="rId19" w:history="1">
        <w:r>
          <w:rPr>
            <w:rStyle w:val="Hyperlink3"/>
          </w:rPr>
          <w:t>http://www.bancaditalia.it/compiti/vigilanza/avvisi-pub/garanzie-finanziarie/</w:t>
        </w:r>
      </w:hyperlink>
      <w:r>
        <w:rPr>
          <w:rStyle w:val="Nessuno"/>
          <w:rFonts w:ascii="Arial" w:hAnsi="Arial"/>
          <w:sz w:val="22"/>
          <w:szCs w:val="22"/>
        </w:rPr>
        <w:t xml:space="preserve"> </w:t>
      </w:r>
    </w:p>
    <w:p w:rsidR="00914394" w:rsidRDefault="00914394">
      <w:pPr>
        <w:pStyle w:val="Textbody"/>
        <w:rPr>
          <w:rStyle w:val="Nessuno"/>
          <w:rFonts w:ascii="Arial" w:eastAsia="Arial" w:hAnsi="Arial" w:cs="Arial"/>
          <w:sz w:val="22"/>
          <w:szCs w:val="22"/>
        </w:rPr>
      </w:pPr>
      <w:hyperlink r:id="rId20" w:history="1">
        <w:r>
          <w:rPr>
            <w:rStyle w:val="Hyperlink3"/>
          </w:rPr>
          <w:t>http://www.ivass.it/ivass/imprese_jsp/HomePage.jsp</w:t>
        </w:r>
      </w:hyperlink>
      <w:r>
        <w:rPr>
          <w:rStyle w:val="Nessuno"/>
          <w:rFonts w:ascii="Arial" w:hAnsi="Arial"/>
          <w:sz w:val="22"/>
          <w:szCs w:val="22"/>
        </w:rPr>
        <w:t xml:space="preserve"> </w:t>
      </w:r>
    </w:p>
    <w:p w:rsidR="00914394" w:rsidRDefault="00000000">
      <w:pPr>
        <w:pStyle w:val="Textbody"/>
        <w:rPr>
          <w:rStyle w:val="Nessuno"/>
          <w:rFonts w:ascii="Arial" w:eastAsia="Arial" w:hAnsi="Arial" w:cs="Arial"/>
          <w:i/>
          <w:iCs/>
          <w:sz w:val="22"/>
          <w:szCs w:val="22"/>
        </w:rPr>
      </w:pPr>
      <w:r>
        <w:rPr>
          <w:rStyle w:val="Nessuno"/>
          <w:rFonts w:ascii="Arial" w:hAnsi="Arial"/>
          <w:i/>
          <w:iCs/>
          <w:sz w:val="22"/>
          <w:szCs w:val="22"/>
        </w:rPr>
        <w:t xml:space="preserve">Si raccomanda di prendere visione del documento denominato </w:t>
      </w:r>
      <w:hyperlink r:id="rId21" w:history="1">
        <w:r w:rsidR="00914394">
          <w:rPr>
            <w:rStyle w:val="Hyperlink4"/>
          </w:rPr>
          <w:t>https://www.anticorruzione.it/-/garanzie-finanziarie</w:t>
        </w:r>
      </w:hyperlink>
      <w:r>
        <w:rPr>
          <w:rStyle w:val="Nessuno"/>
          <w:rFonts w:ascii="Arial" w:hAnsi="Arial"/>
          <w:i/>
          <w:iCs/>
          <w:sz w:val="22"/>
          <w:szCs w:val="22"/>
        </w:rPr>
        <w:t xml:space="preserve"> </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garanzia fideiussoria deve essere emessa e firmata da un soggetto in possesso dei poteri necessari per impegnare il garante.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garanzia fideiussoria deve: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contenere espressa menzione dell’oggetto del contratto di appalto e del soggetto garantito (stazione appaltante);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intestata a tutti gli operatori economici del costituito/costituendo raggruppamento temporaneo o consorzio ordinario o GEIE, ovvero a tutte le imprese retiste che partecipano alla gara ovvero, in caso di consorzi di cui all’articolo 65, comma 2 lettere b), c) e d) del Codice, al solo consorzio;</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conforme allo schema tipo approvato con decreto del Ministro dello sviluppo economico del 16 settembre 2022 n. 193;</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avere validità per almeno 180 giorni dalla data di presentazione dell’offerta;</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prevedere espressamente: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la rinuncia al beneficio della preventiva escussione del debitore principale di cui all’articolo 1944 del codice civile;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la rinuncia ad eccepire la decorrenza dei termini di cui all’articolo 1957, secondo comma, del codice civile;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l’operatività della stessa entro quindici giorni a semplice richiesta scritta della stazione appaltante.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corredata dall’impegno del garante a rinnovare la garanzia ai sensi dell’articolo 106, comma 5 del Codice, su richiesta della stazione appaltante per ulteriori 180 giorni, nel caso in cui al momento della sua scadenza non sia ancora intervenuta l’aggiudicazione.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richiesta di estensione della durata e validità dell’offerta e della garanzia fideiussoria, il concorrente potrà produrre nelle medesime forme di cui sopra una nuova garanzia provvisoria del medesimo o di altro garante, in sostituzione della precedente, a condizione che abbia espressa decorrenza dalla data di presentazione dell’offerta.</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È sanabile</w:t>
      </w:r>
      <w:r>
        <w:rPr>
          <w:rStyle w:val="Nessuno"/>
          <w:rFonts w:ascii="Arial" w:hAnsi="Arial"/>
          <w:sz w:val="22"/>
          <w:szCs w:val="22"/>
        </w:rPr>
        <w:t>, mediante soccorso istruttorio, la mancata presentazione della garanzia provvisoria solo a condizione che sia stata già costituita prima della presentazione dell’offerta.</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Non è sanabile</w:t>
      </w:r>
      <w:r>
        <w:rPr>
          <w:rStyle w:val="Nessuno"/>
          <w:rFonts w:ascii="Arial" w:hAnsi="Arial"/>
          <w:sz w:val="22"/>
          <w:szCs w:val="22"/>
        </w:rPr>
        <w:t xml:space="preserve"> – e quindi è causa di esclusione – la sottoscrizione della garanzia provvisoria da parte di un soggetto non legittimato a rilasciare la garanzia o non autorizzato ad impegnare il garante.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11. SOPRALLUOGO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Non previsto.</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12. PAGAMENTO DEL CONTRIBUTO A FAVORE DELL’ANAC</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 concorrenti effettuano il pagamento del contributo previsto dalla legge in favore dell’Autorità Nazionale Anticorruzione per un importo pari a € 77,00 (settantasette/00) secondo le modalità di cui alla delibera ANAC n. 610 del 19 dicembre 2023 </w:t>
      </w:r>
      <w:r>
        <w:rPr>
          <w:rStyle w:val="Nessuno"/>
          <w:rFonts w:ascii="Arial" w:hAnsi="Arial"/>
          <w:i/>
          <w:iCs/>
          <w:sz w:val="22"/>
          <w:szCs w:val="22"/>
        </w:rPr>
        <w:t xml:space="preserve">o successiva delibera pubblicata al seguente </w:t>
      </w:r>
      <w:hyperlink r:id="rId22" w:history="1">
        <w:r w:rsidR="00914394">
          <w:rPr>
            <w:rStyle w:val="Hyperlink6"/>
          </w:rPr>
          <w:t>https://www.anticorruzione.it/-/gestione-contributi-gara</w:t>
        </w:r>
      </w:hyperlink>
      <w:r>
        <w:rPr>
          <w:rStyle w:val="Nessuno"/>
          <w:rFonts w:ascii="Arial" w:hAnsi="Arial"/>
          <w:i/>
          <w:iCs/>
          <w:sz w:val="22"/>
          <w:szCs w:val="22"/>
        </w:rPr>
        <w:t xml:space="preserve">]. </w:t>
      </w:r>
      <w:r>
        <w:rPr>
          <w:rStyle w:val="Nessuno"/>
          <w:rFonts w:ascii="Arial" w:hAnsi="Arial"/>
          <w:sz w:val="22"/>
          <w:szCs w:val="22"/>
        </w:rPr>
        <w:t>Il pagamento del contributo è condizione di ammissibilità dell’offerta. Il pagamento è verificato mediante il FVOE. In caso di esito negativo della verifica, è attivata la procedura di soccorso istruttorio.</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13.  MODALITÀ DI PRESENTAZIONE DELL’OFFERTA E SOTTOSCRIZIONE DEI DOCUMENTI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L’offerta e la documentazione relativa alla procedura devono essere presentate esclusivamente attraverso la Piattaforma. Non sono considerate valide le offerte presentate attraverso modalità diverse da quelle previste nel presente disciplinare. L’offerta e la documentazione</w:t>
      </w:r>
      <w:r>
        <w:rPr>
          <w:rStyle w:val="Nessuno"/>
          <w:rFonts w:ascii="Arial" w:hAnsi="Arial"/>
          <w:i/>
          <w:iCs/>
          <w:sz w:val="22"/>
          <w:szCs w:val="22"/>
        </w:rPr>
        <w:t xml:space="preserve"> </w:t>
      </w:r>
      <w:r>
        <w:rPr>
          <w:rStyle w:val="Nessuno"/>
          <w:rFonts w:ascii="Arial" w:hAnsi="Arial"/>
          <w:sz w:val="22"/>
          <w:szCs w:val="22"/>
        </w:rPr>
        <w:t>deve essere sottoscritta con firma digitale.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sostitutive si redigono ai sensi degli articoli 19, 46 e 47 del decreto del </w:t>
      </w:r>
      <w:r>
        <w:rPr>
          <w:rStyle w:val="Nessuno"/>
          <w:rFonts w:ascii="Arial" w:hAnsi="Arial"/>
          <w:sz w:val="22"/>
          <w:szCs w:val="22"/>
          <w:u w:val="single"/>
        </w:rPr>
        <w:t>Presidente della Repubblica n. 445/2000</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La documentazione presentata in copia viene prodotta ai sensi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L’offerta e l’ulteriore documentazione richiesta per partecipare alla presente procedura negoziata, devono pervenire entro e non oltre il termine di scadenza indicato nella Piattaforma,</w:t>
      </w:r>
      <w:r>
        <w:rPr>
          <w:rStyle w:val="Nessuno"/>
          <w:rFonts w:ascii="Arial" w:hAnsi="Arial"/>
          <w:i/>
          <w:iCs/>
          <w:color w:val="FF0000"/>
          <w:sz w:val="22"/>
          <w:szCs w:val="22"/>
          <w:u w:color="FF0000"/>
        </w:rPr>
        <w:t xml:space="preserve"> </w:t>
      </w:r>
      <w:r>
        <w:rPr>
          <w:rStyle w:val="Nessuno"/>
          <w:rFonts w:ascii="Arial" w:hAnsi="Arial"/>
          <w:sz w:val="22"/>
          <w:szCs w:val="22"/>
        </w:rPr>
        <w:t>a pena di irricevibilità.</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Piattaforma non accetta offerte presentate dopo la data e l’orario stabiliti come termine ultimo di presentazione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Per l’individuazione di data e ora di arrivo dell’offerta fa fede l’orario registrato dalla Piattaforma.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w:t>
      </w:r>
      <w:r>
        <w:rPr>
          <w:rStyle w:val="Nessuno"/>
          <w:rFonts w:ascii="Arial" w:hAnsi="Arial"/>
          <w:b/>
          <w:bCs/>
          <w:i/>
          <w:iCs/>
          <w:sz w:val="22"/>
          <w:szCs w:val="22"/>
        </w:rPr>
        <w:t>OFFERTA</w:t>
      </w:r>
      <w:r>
        <w:rPr>
          <w:rStyle w:val="Nessuno"/>
          <w:rFonts w:ascii="Arial" w:hAnsi="Arial"/>
          <w:sz w:val="22"/>
          <w:szCs w:val="22"/>
        </w:rPr>
        <w:t>” è composta da: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A – </w:t>
      </w:r>
      <w:r>
        <w:rPr>
          <w:rStyle w:val="Nessuno"/>
          <w:rFonts w:ascii="Arial" w:hAnsi="Arial"/>
          <w:b/>
          <w:bCs/>
          <w:sz w:val="22"/>
          <w:szCs w:val="22"/>
        </w:rPr>
        <w:t>Documentazione amministrativa</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B – </w:t>
      </w:r>
      <w:r>
        <w:rPr>
          <w:rStyle w:val="Nessuno"/>
          <w:rFonts w:ascii="Arial" w:hAnsi="Arial"/>
          <w:b/>
          <w:bCs/>
          <w:sz w:val="22"/>
          <w:szCs w:val="22"/>
        </w:rPr>
        <w:t>Offerta tecnica</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sz w:val="22"/>
          <w:szCs w:val="22"/>
        </w:rPr>
        <w:t xml:space="preserve">C – </w:t>
      </w:r>
      <w:r>
        <w:rPr>
          <w:rStyle w:val="Nessuno"/>
          <w:rFonts w:ascii="Arial" w:hAnsi="Arial"/>
          <w:b/>
          <w:bCs/>
          <w:sz w:val="22"/>
          <w:szCs w:val="22"/>
        </w:rPr>
        <w:t>Offerta economica.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Si precisa inoltre che:</w:t>
      </w:r>
    </w:p>
    <w:p w:rsidR="00914394" w:rsidRDefault="00000000">
      <w:pPr>
        <w:pStyle w:val="Textbody"/>
        <w:numPr>
          <w:ilvl w:val="0"/>
          <w:numId w:val="56"/>
        </w:numPr>
        <w:rPr>
          <w:rFonts w:ascii="Arial" w:hAnsi="Arial"/>
          <w:sz w:val="22"/>
          <w:szCs w:val="22"/>
        </w:rPr>
      </w:pPr>
      <w:r>
        <w:rPr>
          <w:rStyle w:val="Hyperlink5"/>
          <w:rFonts w:ascii="Arial" w:hAnsi="Arial"/>
          <w:sz w:val="22"/>
          <w:szCs w:val="22"/>
        </w:rPr>
        <w:t>l’offerta è vincolante per il concorrente;</w:t>
      </w:r>
    </w:p>
    <w:p w:rsidR="00914394" w:rsidRDefault="00000000">
      <w:pPr>
        <w:pStyle w:val="Textbody"/>
        <w:numPr>
          <w:ilvl w:val="0"/>
          <w:numId w:val="56"/>
        </w:numPr>
        <w:rPr>
          <w:rFonts w:ascii="Arial" w:hAnsi="Arial"/>
          <w:sz w:val="22"/>
          <w:szCs w:val="22"/>
        </w:rPr>
      </w:pPr>
      <w:r>
        <w:rPr>
          <w:rStyle w:val="Hyperlink5"/>
          <w:rFonts w:ascii="Arial" w:hAnsi="Arial"/>
          <w:sz w:val="22"/>
          <w:szCs w:val="22"/>
        </w:rPr>
        <w:t>con la trasmissione dell’offerta, il concorrente accetta tutta la documentazione di gara, allegati e chiarimenti inclusi.</w:t>
      </w:r>
    </w:p>
    <w:p w:rsidR="00914394" w:rsidRDefault="00000000">
      <w:pPr>
        <w:pStyle w:val="Standard"/>
        <w:widowControl w:val="0"/>
        <w:tabs>
          <w:tab w:val="left" w:pos="9132"/>
        </w:tabs>
        <w:jc w:val="both"/>
        <w:rPr>
          <w:rStyle w:val="Nessuno"/>
          <w:rFonts w:ascii="Arial" w:eastAsia="Arial" w:hAnsi="Arial" w:cs="Arial"/>
          <w:sz w:val="22"/>
          <w:szCs w:val="22"/>
        </w:rPr>
      </w:pPr>
      <w:r>
        <w:rPr>
          <w:rStyle w:val="Nessuno"/>
          <w:rFonts w:ascii="Arial" w:hAnsi="Arial"/>
          <w:sz w:val="22"/>
          <w:szCs w:val="22"/>
        </w:rPr>
        <w:t xml:space="preserve">L’offerta vincola il concorrente per </w:t>
      </w:r>
      <w:r>
        <w:rPr>
          <w:rStyle w:val="Nessuno"/>
          <w:rFonts w:ascii="Arial" w:hAnsi="Arial"/>
          <w:i/>
          <w:iCs/>
          <w:sz w:val="22"/>
          <w:szCs w:val="22"/>
        </w:rPr>
        <w:t xml:space="preserve">180 giorni </w:t>
      </w:r>
      <w:r>
        <w:rPr>
          <w:rStyle w:val="Nessuno"/>
          <w:rFonts w:ascii="Arial" w:hAnsi="Arial"/>
          <w:sz w:val="22"/>
          <w:szCs w:val="22"/>
        </w:rPr>
        <w:t>dalla scadenza del termine indicato per la presentazione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Nel caso in cui alla data di scadenza della validità delle offerte le operazioni di verifica e valutazione siano ancora in corso, sarà richiesto agli offerenti di confermare la validità dell’offerta sino alla data indicata e di produrre un apposito documento attestante la validità della garanzia prestata fino alla medesima data.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mancato riscontro alla richiesta della stazione appaltante entro il termine fissato da quest’ultima o comunque in tempo utile alla celere prosecuzione della procedura è considerato come rinuncia del concorrente alla partecipazione alla procedura negoziata.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preparazione dell’OFFERTA e il relativo invio avvengono esclusivamente attraverso la procedura prevista dal Sistema che può essere eseguita in fasi successive, attraverso il salvataggio dei dati e delle attività effettuate, fermo restando che l’invio dell’OFFERTA deve necessariamente avvenire entro la scadenza del termine perentorio di presentazione stabilito.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presentazione dell’OFFERTA mediante il Sistema è a totale ed esclusivo rischio del procedente, il quale si assume qualsiasi rischio in caso di mancata o tardiva ricezione dell’OFFERTA medesima, dovuta, a mero titolo esemplificativo e non esaustivo, a malfunzionamenti degli strumenti telematici utilizzati, a difficoltà di connessione e trasmissione, a lentezza dei collegamenti, o a qualsiasi altro motivo, restando esclusa qualsivoglia responsabilità del Gestore del Sistema e della Stazione Appaltante ove per ritardo o disguidi tecnici o di altra natura, ovvero per qualsiasi motivo, l’OFFERTA non pervenga entro il previsto termine perentorio di scadenza.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ogni caso, fatti salvi i limiti inderogabili di legge, il concorrente esonera Gestore del Sistema e della Stazione Appaltante da qualsiasi responsabilità per malfunzionamenti di qualsiasi natura, mancato funzionamento o interruzioni di funzionamento del Sistema. Si precisa che, in ogni caso, la Stazione Appaltante adotterà i provvedimenti che riterrà necessari nel caso di accertato malfunzionamento del Sistema.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Tutta la documentazione da produrre deve essere in lingua italiana. Si precisa che in caso di </w:t>
      </w:r>
      <w:r>
        <w:rPr>
          <w:rStyle w:val="Nessuno"/>
          <w:rFonts w:ascii="Arial" w:hAnsi="Arial"/>
          <w:sz w:val="22"/>
          <w:szCs w:val="22"/>
        </w:rPr>
        <w:lastRenderedPageBreak/>
        <w:t>produzione di documentazione redatta in lingua diversa dall’italiano quest’ultima dovrà essere corredata da traduzione giurata.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mancanza, incompletezza o irregolarità della traduzione della documentazione amministrativa, si applica il soccorso istruttorio.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23" w:history="1">
        <w:r w:rsidR="00914394">
          <w:rPr>
            <w:rStyle w:val="Hyperlink3"/>
          </w:rPr>
          <w:t>https://lccsiracusa.tuttogare.it/norme_tecniche.php</w:t>
        </w:r>
      </w:hyperlink>
      <w:r>
        <w:rPr>
          <w:rStyle w:val="Nessuno"/>
          <w:rFonts w:ascii="Arial" w:hAnsi="Arial"/>
          <w:sz w:val="22"/>
          <w:szCs w:val="22"/>
        </w:rPr>
        <w:t>, per le ulteriori indicazioni relative alle modalità di presentazione dell’offerta nella Piattaforma.</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widowControl w:val="0"/>
        <w:pBdr>
          <w:top w:val="single" w:sz="4" w:space="0" w:color="000000"/>
          <w:left w:val="single" w:sz="4" w:space="0" w:color="000000"/>
          <w:bottom w:val="single" w:sz="4" w:space="0" w:color="000000"/>
          <w:right w:val="single" w:sz="4" w:space="0" w:color="000000"/>
        </w:pBdr>
        <w:shd w:val="clear" w:color="auto" w:fill="EDEDED"/>
        <w:ind w:left="425" w:hanging="425"/>
        <w:jc w:val="both"/>
        <w:rPr>
          <w:rStyle w:val="Nessuno"/>
          <w:rFonts w:ascii="Arial" w:eastAsia="Arial" w:hAnsi="Arial" w:cs="Arial"/>
          <w:b/>
          <w:bCs/>
          <w:sz w:val="22"/>
          <w:szCs w:val="22"/>
        </w:rPr>
      </w:pPr>
      <w:r>
        <w:rPr>
          <w:rStyle w:val="Nessuno"/>
          <w:rFonts w:ascii="Arial" w:hAnsi="Arial"/>
          <w:b/>
          <w:bCs/>
          <w:sz w:val="22"/>
          <w:szCs w:val="22"/>
        </w:rPr>
        <w:t>14. SOCCORSO ISTRUTTORIO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Con la procedura di soccorso istruttorio di cui all’articolo 101 del Codice, possono essere sanate le carenze della documentazione trasmessa ad esclusione della documentazione che compone l’offerta tecnica e l’offerta economica.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Con la medesima procedura può essere sanata ogni omissione, inesattezza o irregolarità di ogni documento richiesto per la partecipazione alla procedura di gara, con esclusione della documentazione che compone l’offerta tecnica e l’offerta economica. Non sono sanabili le omissioni, le inesattezze e irregolarità che rendono assolutamente incerta l’identità del concorrente. A titolo esemplificativo, si chiarisce che:</w:t>
      </w:r>
    </w:p>
    <w:p w:rsidR="00914394" w:rsidRDefault="00000000">
      <w:pPr>
        <w:pStyle w:val="Textbody"/>
        <w:numPr>
          <w:ilvl w:val="0"/>
          <w:numId w:val="57"/>
        </w:numPr>
        <w:rPr>
          <w:rFonts w:ascii="Arial" w:hAnsi="Arial"/>
          <w:sz w:val="22"/>
          <w:szCs w:val="22"/>
        </w:rPr>
      </w:pPr>
      <w:r>
        <w:rPr>
          <w:rStyle w:val="Hyperlink5"/>
          <w:rFonts w:ascii="Arial" w:hAnsi="Arial"/>
          <w:sz w:val="22"/>
          <w:szCs w:val="22"/>
        </w:rPr>
        <w:t xml:space="preserve">il mancato possesso dei prescritti requisiti di partecipazione </w:t>
      </w:r>
      <w:r>
        <w:rPr>
          <w:rStyle w:val="Nessuno"/>
          <w:rFonts w:ascii="Arial" w:hAnsi="Arial"/>
          <w:b/>
          <w:bCs/>
          <w:sz w:val="22"/>
          <w:szCs w:val="22"/>
        </w:rPr>
        <w:t>non è sanabile</w:t>
      </w:r>
      <w:r>
        <w:rPr>
          <w:rStyle w:val="Hyperlink5"/>
          <w:rFonts w:ascii="Arial" w:hAnsi="Arial"/>
          <w:sz w:val="22"/>
          <w:szCs w:val="22"/>
        </w:rPr>
        <w:t xml:space="preserve"> mediante soccorso istruttorio ed è causa di esclusione dalla procedura di gara;</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l’omessa o incompleta nonché irregolare presentazione delle dichiarazioni sul possesso dei requisiti di partecipazione e ogni altra mancanza, incompletezza o irregolarità della domanda, sono sanabili, ad eccezione delle false dichiarazioni;</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la mancata produzione del contratto di avvalimento, della garanzia provvisoria, del mandato collettivo speciale o dell’impegno a conferire mandato collettivo può essere oggetto di soccorso istruttorio solo se i citati documenti sono preesistenti e comprovabili con data certa anteriore al termine di presentazione dell’offerta;</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il difetto di sottoscrizione delle dichiarazioni richieste e dell’offerta è sanabile;</w:t>
      </w:r>
    </w:p>
    <w:p w:rsidR="00914394" w:rsidRDefault="00000000">
      <w:pPr>
        <w:pStyle w:val="Paragrafoelenco"/>
        <w:numPr>
          <w:ilvl w:val="0"/>
          <w:numId w:val="59"/>
        </w:numPr>
        <w:suppressAutoHyphens w:val="0"/>
        <w:jc w:val="both"/>
        <w:rPr>
          <w:rFonts w:ascii="Arial" w:hAnsi="Arial"/>
          <w:sz w:val="22"/>
          <w:szCs w:val="22"/>
        </w:rPr>
      </w:pPr>
      <w:r>
        <w:rPr>
          <w:rStyle w:val="Hyperlink5"/>
          <w:rFonts w:ascii="Arial" w:hAnsi="Arial"/>
          <w:sz w:val="22"/>
          <w:szCs w:val="22"/>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purché redatto e trasmesso in data anteriore al termine per la presentazione delle offerte; </w:t>
      </w:r>
    </w:p>
    <w:p w:rsidR="00914394" w:rsidRDefault="00000000">
      <w:pPr>
        <w:pStyle w:val="Paragrafoelenco"/>
        <w:numPr>
          <w:ilvl w:val="0"/>
          <w:numId w:val="59"/>
        </w:numPr>
        <w:suppressAutoHyphens w:val="0"/>
        <w:jc w:val="both"/>
        <w:rPr>
          <w:rFonts w:ascii="Arial" w:hAnsi="Arial"/>
          <w:sz w:val="22"/>
          <w:szCs w:val="22"/>
        </w:rPr>
      </w:pPr>
      <w:r>
        <w:rPr>
          <w:rStyle w:val="Nessuno"/>
          <w:rFonts w:ascii="Arial" w:hAnsi="Arial"/>
          <w:b/>
          <w:bCs/>
          <w:sz w:val="22"/>
          <w:szCs w:val="22"/>
        </w:rPr>
        <w:t>non è sanabile</w:t>
      </w:r>
      <w:r>
        <w:rPr>
          <w:rStyle w:val="Hyperlink5"/>
          <w:rFonts w:ascii="Arial" w:hAnsi="Arial"/>
          <w:sz w:val="22"/>
          <w:szCs w:val="22"/>
        </w:rPr>
        <w:t xml:space="preserve"> mediante soccorso istruttorio l’omesso impegno ad assicurare, in caso di aggiudicazione del contratto, l’assunzione di una quota di occupazione giovanile e femminile di cui all’articolo </w:t>
      </w:r>
      <w:hyperlink w:anchor="bookmark" w:history="1">
        <w:r w:rsidR="00914394">
          <w:rPr>
            <w:rStyle w:val="Hyperlink5"/>
            <w:rFonts w:ascii="Arial" w:hAnsi="Arial"/>
            <w:sz w:val="22"/>
            <w:szCs w:val="22"/>
          </w:rPr>
          <w:t>9</w:t>
        </w:r>
      </w:hyperlink>
      <w:r>
        <w:rPr>
          <w:rStyle w:val="Hyperlink5"/>
          <w:rFonts w:ascii="Arial" w:hAnsi="Arial"/>
          <w:sz w:val="22"/>
          <w:szCs w:val="22"/>
        </w:rPr>
        <w:t xml:space="preserve"> del presente Disciplinare.</w:t>
      </w:r>
    </w:p>
    <w:p w:rsidR="00914394" w:rsidRDefault="00000000">
      <w:pPr>
        <w:pStyle w:val="Paragrafoelenco"/>
        <w:numPr>
          <w:ilvl w:val="0"/>
          <w:numId w:val="59"/>
        </w:numPr>
        <w:suppressAutoHyphens w:val="0"/>
        <w:jc w:val="both"/>
        <w:rPr>
          <w:rFonts w:ascii="Arial" w:hAnsi="Arial"/>
          <w:sz w:val="22"/>
          <w:szCs w:val="22"/>
        </w:rPr>
      </w:pPr>
      <w:r>
        <w:rPr>
          <w:rStyle w:val="Hyperlink5"/>
          <w:rFonts w:ascii="Arial" w:hAnsi="Arial"/>
          <w:sz w:val="22"/>
          <w:szCs w:val="22"/>
        </w:rPr>
        <w:t>La mancata ottemperanza dell’obbligo di dichiarazione del titolare effettivo, non determina l’esclusione del concorrente dalla procedura, ma l’avvio di verifiche a cura della Stazione Appaltante, ai fini della segnalazione all’</w:t>
      </w:r>
      <w:proofErr w:type="spellStart"/>
      <w:r>
        <w:rPr>
          <w:rStyle w:val="Hyperlink5"/>
          <w:rFonts w:ascii="Arial" w:hAnsi="Arial"/>
          <w:sz w:val="22"/>
          <w:szCs w:val="22"/>
        </w:rPr>
        <w:t>Autorita</w:t>
      </w:r>
      <w:proofErr w:type="spellEnd"/>
      <w:r>
        <w:rPr>
          <w:rStyle w:val="Hyperlink5"/>
          <w:rFonts w:ascii="Arial" w:hAnsi="Arial"/>
          <w:sz w:val="22"/>
          <w:szCs w:val="22"/>
        </w:rPr>
        <w:t xml:space="preserve">̀ in materia di contrasto al riciclaggio.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Ai fini del soccorso istruttorio è assegnato al concorrente un termine da cinque a dieci giorni solari affinché siano rese, integrate o regolarizzate le dichiarazioni necessarie, indicando il contenuto e i soggetti che le devono rendere nonché la sezione del Sistema dove deve essere inserita la documentazione richiesta.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inutile decorso del termine, la stazione appaltante procede all’esclusione del concorrente dalla procedura.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stazione appaltante può sempre chiedere chiarimenti sui contenuti dell’offerta tecnica e dell’offerta economica e su ogni loro allegato. L’operatore economico è tenuto a fornire risposta nel termine di 5 giorni. I chiarimenti resi dall’operatore economico non possono modificare il contenuto dell’offerta.</w:t>
      </w:r>
    </w:p>
    <w:p w:rsidR="00914394" w:rsidRDefault="00914394">
      <w:pPr>
        <w:pStyle w:val="Standard"/>
        <w:widowControl w:val="0"/>
        <w:ind w:firstLine="567"/>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bookmarkStart w:id="0" w:name="_Ref484611690"/>
      <w:r>
        <w:rPr>
          <w:rStyle w:val="Nessuno"/>
          <w:rFonts w:ascii="Arial" w:hAnsi="Arial"/>
          <w:b/>
          <w:bCs/>
          <w:sz w:val="22"/>
          <w:szCs w:val="22"/>
        </w:rPr>
        <w:t>1</w:t>
      </w:r>
      <w:bookmarkStart w:id="1" w:name="_Ref484611693"/>
      <w:bookmarkEnd w:id="0"/>
      <w:r>
        <w:rPr>
          <w:rStyle w:val="Nessuno"/>
          <w:rFonts w:ascii="Arial" w:hAnsi="Arial"/>
          <w:b/>
          <w:bCs/>
          <w:sz w:val="22"/>
          <w:szCs w:val="22"/>
        </w:rPr>
        <w:t>5. MODALITÀ DI PARTECIPAZIONE E DOCUMENTAZIONE AMMINISTRATIVA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L’operatore economico utilizza la Piattaforma </w:t>
      </w:r>
      <w:hyperlink r:id="rId24" w:history="1">
        <w:r w:rsidR="00914394">
          <w:rPr>
            <w:rStyle w:val="Hyperlink0"/>
          </w:rPr>
          <w:t>https://lccsiracusa.tuttogare.it/</w:t>
        </w:r>
      </w:hyperlink>
      <w:r>
        <w:rPr>
          <w:rStyle w:val="Nessuno"/>
          <w:rFonts w:ascii="Arial" w:hAnsi="Arial"/>
          <w:sz w:val="22"/>
          <w:szCs w:val="22"/>
        </w:rPr>
        <w:t>.</w:t>
      </w:r>
      <w:r>
        <w:rPr>
          <w:rStyle w:val="Nessuno"/>
          <w:rFonts w:ascii="Arial" w:hAnsi="Arial"/>
          <w:i/>
          <w:iCs/>
          <w:color w:val="FF0000"/>
          <w:sz w:val="22"/>
          <w:szCs w:val="22"/>
          <w:u w:color="FF0000"/>
        </w:rPr>
        <w:t xml:space="preserve"> </w:t>
      </w:r>
      <w:r>
        <w:rPr>
          <w:rStyle w:val="Nessuno"/>
          <w:rFonts w:ascii="Arial" w:hAnsi="Arial"/>
          <w:sz w:val="22"/>
          <w:szCs w:val="22"/>
        </w:rPr>
        <w:t>per compilare o allegare la seguente documentazione: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1) “</w:t>
      </w:r>
      <w:r>
        <w:rPr>
          <w:rStyle w:val="Hyperlink5"/>
          <w:rFonts w:ascii="Arial" w:hAnsi="Arial"/>
          <w:sz w:val="22"/>
          <w:szCs w:val="22"/>
        </w:rPr>
        <w:t>Request.xml” del documento di gara unico europeo (DGUE);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lastRenderedPageBreak/>
        <w:t>modello 2) Dichiarazioni integrative del concorrente;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 xml:space="preserve">modello 3) Dichiarazione inerente </w:t>
      </w:r>
      <w:proofErr w:type="gramStart"/>
      <w:r>
        <w:rPr>
          <w:rStyle w:val="Nessuno"/>
          <w:rFonts w:ascii="Arial" w:hAnsi="Arial"/>
          <w:i/>
          <w:iCs/>
          <w:sz w:val="22"/>
          <w:szCs w:val="22"/>
        </w:rPr>
        <w:t>il</w:t>
      </w:r>
      <w:proofErr w:type="gramEnd"/>
      <w:r>
        <w:rPr>
          <w:rStyle w:val="Nessuno"/>
          <w:rFonts w:ascii="Arial" w:hAnsi="Arial"/>
          <w:i/>
          <w:iCs/>
          <w:sz w:val="22"/>
          <w:szCs w:val="22"/>
        </w:rPr>
        <w:t xml:space="preserve"> titolare effettivo;</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4) Patto di integrità;</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5) Protocollo di Legalità “Carlo Alberto Dalla Chiesa”;</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Capitolato speciale descrittivo e prestazionale da restituire sottoscritto digitalmente per integrale presa visione e incondizionata accettazione;</w:t>
      </w:r>
    </w:p>
    <w:p w:rsidR="00914394" w:rsidRDefault="00000000">
      <w:pPr>
        <w:pStyle w:val="Standard"/>
        <w:numPr>
          <w:ilvl w:val="0"/>
          <w:numId w:val="33"/>
        </w:numPr>
        <w:rPr>
          <w:rFonts w:ascii="Arial" w:hAnsi="Arial"/>
          <w:sz w:val="22"/>
          <w:szCs w:val="22"/>
        </w:rPr>
      </w:pPr>
      <w:r>
        <w:rPr>
          <w:rStyle w:val="Hyperlink5"/>
          <w:rFonts w:ascii="Arial" w:hAnsi="Arial"/>
          <w:sz w:val="22"/>
          <w:szCs w:val="22"/>
        </w:rPr>
        <w:t>Garanzia provvisoria;</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Ricevuta di avvenuto pagamento del contributo all’ANAC;</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 xml:space="preserve">(eventuale) Per gli operatori economici che occupano oltre cinquanta dipendenti: copia dell’ultimo rapporto periodico sulla situazione del personale maschile e femminile redatto ai sensi dell’articolo 46 del </w:t>
      </w:r>
      <w:hyperlink r:id="rId25" w:history="1">
        <w:r w:rsidR="00914394">
          <w:rPr>
            <w:rStyle w:val="Hyperlink7"/>
            <w:rFonts w:ascii="Arial" w:hAnsi="Arial"/>
            <w:sz w:val="22"/>
            <w:szCs w:val="22"/>
          </w:rPr>
          <w:t>decreto legislativo n. 198/2006</w:t>
        </w:r>
      </w:hyperlink>
      <w:r>
        <w:rPr>
          <w:rStyle w:val="Hyperlink5"/>
          <w:rFonts w:ascii="Arial" w:hAnsi="Arial"/>
          <w:sz w:val="22"/>
          <w:szCs w:val="22"/>
        </w:rPr>
        <w:t>,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Standard"/>
        <w:numPr>
          <w:ilvl w:val="0"/>
          <w:numId w:val="33"/>
        </w:numPr>
        <w:rPr>
          <w:rFonts w:ascii="Arial" w:hAnsi="Arial"/>
          <w:sz w:val="22"/>
          <w:szCs w:val="22"/>
        </w:rPr>
      </w:pPr>
      <w:r>
        <w:rPr>
          <w:rStyle w:val="Hyperlink5"/>
          <w:rFonts w:ascii="Arial" w:hAnsi="Arial"/>
          <w:sz w:val="22"/>
          <w:szCs w:val="22"/>
        </w:rPr>
        <w:t>(eventuale) Documentazione in caso di avvalimento;</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(eventuale) Documentazione aggiuntiva nel caso di operatore economico ammesso alla procedura di concordato con continuità aziendale Documentazione per i soggetti associati.</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w:t>
      </w:r>
      <w:r>
        <w:rPr>
          <w:rStyle w:val="Nessuno"/>
          <w:rFonts w:ascii="Arial" w:hAnsi="Arial"/>
          <w:b/>
          <w:bCs/>
          <w:sz w:val="22"/>
          <w:szCs w:val="22"/>
        </w:rPr>
        <w:t>DOCUMENTAZIONE AMMINISTRATIVA</w:t>
      </w:r>
      <w:r>
        <w:rPr>
          <w:rStyle w:val="Nessuno"/>
          <w:rFonts w:ascii="Arial" w:hAnsi="Arial"/>
          <w:sz w:val="22"/>
          <w:szCs w:val="22"/>
        </w:rPr>
        <w:t>” va redatta in conformità alle indicazioni contenute nel presente Disciplinare e va prodotta mediante caricamento nella piattaforma telematica entro il termine di scadenza della presente procedura.</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15.1 - SOTTOSCRIZIONE DELLA DOCUMENTAZIONE AMMINISTRATIVA 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sono sottoscritte ai sensi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dal concorrente che partecipa in forma singola;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raggruppamento temporaneo o consorzio ordinario o GEIE costituiti, dalla mandataria/capofila;</w:t>
      </w:r>
    </w:p>
    <w:p w:rsidR="00914394" w:rsidRDefault="00000000">
      <w:pPr>
        <w:pStyle w:val="Paragrafoelenco"/>
        <w:widowControl w:val="0"/>
        <w:numPr>
          <w:ilvl w:val="0"/>
          <w:numId w:val="64"/>
        </w:numPr>
        <w:jc w:val="both"/>
        <w:rPr>
          <w:rFonts w:ascii="Arial" w:hAnsi="Arial"/>
          <w:sz w:val="22"/>
          <w:szCs w:val="22"/>
        </w:rPr>
      </w:pPr>
      <w:r>
        <w:rPr>
          <w:rStyle w:val="Hyperlink5"/>
          <w:rFonts w:ascii="Arial" w:hAnsi="Arial"/>
          <w:sz w:val="22"/>
          <w:szCs w:val="22"/>
        </w:rPr>
        <w:t>nel caso di raggruppamento temporaneo o consorzio ordinario o GEIE non ancora costituiti, da tutti i soggetti che costituiranno il raggruppamento o il consorzio o il gruppo;</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aggregazioni di retisti:</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con potere di rappresentanza e con soggettività giuridica, ai sensi dell’articolo 3, comma 4-</w:t>
      </w:r>
      <w:r>
        <w:rPr>
          <w:rStyle w:val="Nessuno"/>
          <w:rFonts w:ascii="Arial" w:hAnsi="Arial"/>
          <w:i/>
          <w:iCs/>
          <w:sz w:val="22"/>
          <w:szCs w:val="22"/>
        </w:rPr>
        <w:t>quater</w:t>
      </w:r>
      <w:r>
        <w:rPr>
          <w:rStyle w:val="Hyperlink5"/>
          <w:rFonts w:ascii="Arial" w:hAnsi="Arial"/>
          <w:sz w:val="22"/>
          <w:szCs w:val="22"/>
        </w:rPr>
        <w:t xml:space="preserve">, del </w:t>
      </w:r>
      <w:r>
        <w:rPr>
          <w:rStyle w:val="Hyperlink7"/>
          <w:rFonts w:ascii="Arial" w:hAnsi="Arial"/>
          <w:sz w:val="22"/>
          <w:szCs w:val="22"/>
        </w:rPr>
        <w:t>decreto legge 10 febbraio 2009, n. 5</w:t>
      </w:r>
      <w:r>
        <w:rPr>
          <w:rStyle w:val="Hyperlink5"/>
          <w:rFonts w:ascii="Arial" w:hAnsi="Arial"/>
          <w:sz w:val="22"/>
          <w:szCs w:val="22"/>
        </w:rPr>
        <w:t>, la domanda di partecipazione deve essere sottoscritta dal solo operatore economico che riveste la funzione di organo comune;</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con potere di rappresentanza ma è priva di soggettività giuridica, ai sensi dell’articolo 3, comma 4-</w:t>
      </w:r>
      <w:r>
        <w:rPr>
          <w:rStyle w:val="Nessuno"/>
          <w:rFonts w:ascii="Arial" w:hAnsi="Arial"/>
          <w:i/>
          <w:iCs/>
          <w:sz w:val="22"/>
          <w:szCs w:val="22"/>
        </w:rPr>
        <w:t>quater</w:t>
      </w:r>
      <w:r>
        <w:rPr>
          <w:rStyle w:val="Hyperlink5"/>
          <w:rFonts w:ascii="Arial" w:hAnsi="Arial"/>
          <w:sz w:val="22"/>
          <w:szCs w:val="22"/>
        </w:rPr>
        <w:t xml:space="preserve">, del </w:t>
      </w:r>
      <w:r>
        <w:rPr>
          <w:rStyle w:val="Hyperlink7"/>
          <w:rFonts w:ascii="Arial" w:hAnsi="Arial"/>
          <w:sz w:val="22"/>
          <w:szCs w:val="22"/>
        </w:rPr>
        <w:t>decreto legge 10 febbraio 2009, n. 5</w:t>
      </w:r>
      <w:r>
        <w:rPr>
          <w:rStyle w:val="Hyperlink5"/>
          <w:rFonts w:ascii="Arial" w:hAnsi="Arial"/>
          <w:sz w:val="22"/>
          <w:szCs w:val="22"/>
        </w:rPr>
        <w:t>, la domanda di partecipazione deve essere sottoscritta dall’impresa che riveste le funzioni di organo comune nonché da ognuno dei retisti che partecipa alla gara;</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consorzio di cooperative e imprese artigiane o di consorzio stabile di cui all’articolo 65, comma 2 - lettera b), c) e d), del Codice la domanda è sottoscritta digitalmente dal consorzio medesimo.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Le dichiarazioni sono firmate dal legale rappresentante del concorrente o da un suo procuratore munito della relativa procura</w:t>
      </w:r>
      <w:r>
        <w:rPr>
          <w:rStyle w:val="Nessuno"/>
          <w:rFonts w:ascii="Arial" w:hAnsi="Arial"/>
          <w:b/>
          <w:bCs/>
          <w:sz w:val="22"/>
          <w:szCs w:val="22"/>
        </w:rPr>
        <w:t xml:space="preserve">. </w:t>
      </w:r>
      <w:r>
        <w:rPr>
          <w:rStyle w:val="Nessuno"/>
          <w:rFonts w:ascii="Arial" w:hAnsi="Arial"/>
          <w:sz w:val="22"/>
          <w:szCs w:val="22"/>
        </w:rPr>
        <w:t>In tal caso, il concorrente allega copia conforme all’originale della procura. Non è necessario allegare la procura se dalla visura camerale del concorrente risulti l’indicazione espressa dei poteri rappresentativi conferiti al procuratore.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in ordine all’insussistenza delle cause automatiche di esclusione di cui all’articolo 94, commi 1 e 2 del Codice sono rese dall’operatore economico in relazione a tutti i soggetti indicati al comma 3.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in ordine all’insussistenza delle cause non automatiche di esclusione di cui all’articolo 98, comma 3 lettere g) ed h) del Codice sono rese dall’operatore economico in relazione ai soggetti di cui al punto precedente.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lastRenderedPageBreak/>
        <w:t xml:space="preserve">Le dichiarazioni in ordine all’insussistenza delle altre cause di esclusione sono rese in relazione all’operatore economico.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Con riferimento alle cause di esclusione di cui all’articolo 95 del Codice, il concorrente dichiara: </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le gravi infrazioni di cui all’articolo 95, comma 1, lettera a) del Codice commesse nei tre anni antecedenti la data di pubblicazione del bando di gara;</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 xml:space="preserve">gli atti e i provvedimenti di cui all’articolo 98, comma 6 del Codice, emessi nei tre anni antecedenti la data di pubblicazione del bando di gara; </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 xml:space="preserve">tutti gli altri comportamenti di cui all’articolo 98 del Codice, commessi nei tre anni antecedenti la data di pubblicazione del bando di gara.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La dichiarazione di cui sopra deve essere resa anche nel caso di impugnazione in giudizio dei relativi provvedimenti.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dichiara la sussistenza delle cause di esclusione che si sono verificate prima della presentazione dell’offerta e inserisce nel FVOE la relazione che illustra le misure di self-</w:t>
      </w:r>
      <w:proofErr w:type="spellStart"/>
      <w:r>
        <w:rPr>
          <w:rStyle w:val="Nessuno"/>
          <w:rFonts w:ascii="Arial" w:hAnsi="Arial"/>
          <w:sz w:val="22"/>
          <w:szCs w:val="22"/>
        </w:rPr>
        <w:t>cleaning</w:t>
      </w:r>
      <w:proofErr w:type="spellEnd"/>
      <w:r>
        <w:rPr>
          <w:rStyle w:val="Nessuno"/>
          <w:rFonts w:ascii="Arial" w:hAnsi="Arial"/>
          <w:sz w:val="22"/>
          <w:szCs w:val="22"/>
        </w:rPr>
        <w:t xml:space="preserve"> adottate, oppure dimostra l’impossibilità di adottare tali misure prima della presentazione dell’offerta, indicando i motivi della mancata adozione nella relazione inserita nel FVOE, impegnandosi ad adottarle successivamente.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adotta le misure di self-</w:t>
      </w:r>
      <w:proofErr w:type="spellStart"/>
      <w:r>
        <w:rPr>
          <w:rStyle w:val="Nessuno"/>
          <w:rFonts w:ascii="Arial" w:hAnsi="Arial"/>
          <w:sz w:val="22"/>
          <w:szCs w:val="22"/>
        </w:rPr>
        <w:t>cleaning</w:t>
      </w:r>
      <w:proofErr w:type="spellEnd"/>
      <w:r>
        <w:rPr>
          <w:rStyle w:val="Nessuno"/>
          <w:rFonts w:ascii="Arial" w:hAnsi="Arial"/>
          <w:sz w:val="22"/>
          <w:szCs w:val="22"/>
        </w:rPr>
        <w:t xml:space="preserve"> che è stato impossibilitato ad adottare prima della presentazione dell’offerta e quelle relative a cause di esclusione che si sono verificate dopo tale momento.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w:t>
      </w:r>
      <w:proofErr w:type="spellStart"/>
      <w:r>
        <w:rPr>
          <w:rStyle w:val="Nessuno"/>
          <w:rFonts w:ascii="Arial" w:hAnsi="Arial"/>
          <w:sz w:val="22"/>
          <w:szCs w:val="22"/>
        </w:rPr>
        <w:t>anziche</w:t>
      </w:r>
      <w:proofErr w:type="spellEnd"/>
      <w:r>
        <w:rPr>
          <w:rStyle w:val="Nessuno"/>
          <w:rFonts w:ascii="Arial" w:hAnsi="Arial"/>
          <w:sz w:val="22"/>
          <w:szCs w:val="22"/>
        </w:rPr>
        <w:t xml:space="preserve">́ dalla commissione del fatto o dall’adozione del provvedimento.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In caso di raggruppamento temporaneo, consorzio ordinario, aggregazione di retisti, GEIE, il concorrente fornisce i dati identificativi (ragione sociale, Codice fiscale, sede) e il ruolo di ciascun partecipante.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consorzio di cooperative, consorzio imprese artigiane o di consorzio stabile di cui all’articolo 65, comma 2 lettera b), c), d) del Codice, il consorzio indica il consorziato per il quale concorre alla gara.</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15.2 – DOCUMENTO DI GARA UNICO EUROPEO (DGUE)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concorrente dovrà produrre il DGUE.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 tal fine il concorrente potrà procedere secondo le istruzioni e le modalità previste dalla Piattaforma Telematica mediante la quale viene gestita la procedura di gara ed a cui si rimanda.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ogni caso il DGUE deve essere sottoscritto dal legale rappresentante dell’impresa o da altro soggetto individuato al precedente paragrafo 15.1 e presentato.</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dal singolo operatore economico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 tutti gli operatori economici che partecipano alla procedura in raggruppamenti temporanei, consorzi ordinari, GEIE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nel caso di aggregazioni di imprese di rete da ognuna delle imprese retiste, se l’intera rete partecipa, ovvero dall’organo comune e dalle singole imprese retiste indicate se non partecipa l’intera rete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 fra cooperative, dai consorzi tra imprese artigiane e dai consorzi stabili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consorziati per conto dei quali il consorzio concorre e compilato nelle parti pertinenti relative a: Parte II, Sezioni A, B; Parte III, Sezioni A, B, C e D; Parte IV, Sezioni A, B e C; Parte VI;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consorziati che prestano il requisito nelle parti pertinenti relative a: Parte II, Sezioni A e B; Parte III, Sezioni A, B, C e D; Parte VI;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dall’impresa ausiliaria e compilato nelle parti pertinenti relative:</w:t>
      </w:r>
    </w:p>
    <w:p w:rsidR="00914394" w:rsidRDefault="00000000">
      <w:pPr>
        <w:pStyle w:val="Textbody"/>
        <w:numPr>
          <w:ilvl w:val="0"/>
          <w:numId w:val="71"/>
        </w:numPr>
        <w:rPr>
          <w:rFonts w:ascii="Arial" w:hAnsi="Arial"/>
          <w:sz w:val="22"/>
          <w:szCs w:val="22"/>
        </w:rPr>
      </w:pPr>
      <w:r>
        <w:rPr>
          <w:rStyle w:val="Nessuno"/>
          <w:rFonts w:ascii="Arial" w:hAnsi="Arial"/>
          <w:sz w:val="22"/>
          <w:szCs w:val="22"/>
          <w:u w:val="single"/>
        </w:rPr>
        <w:t>nel caso di avvalimento per soddisfare i requisiti di partecipazione</w:t>
      </w:r>
      <w:r>
        <w:rPr>
          <w:rStyle w:val="Hyperlink5"/>
          <w:rFonts w:ascii="Arial" w:hAnsi="Arial"/>
          <w:sz w:val="22"/>
          <w:szCs w:val="22"/>
        </w:rPr>
        <w:t>: Parte II, Sezioni A, B; Parte III, Sezioni A, B, C e D; Parte IV in relazione ai requisiti oggetto di avvalimento; Parte VI;</w:t>
      </w:r>
    </w:p>
    <w:p w:rsidR="00914394" w:rsidRDefault="00000000">
      <w:pPr>
        <w:pStyle w:val="Textbody"/>
        <w:numPr>
          <w:ilvl w:val="0"/>
          <w:numId w:val="71"/>
        </w:numPr>
        <w:rPr>
          <w:rFonts w:ascii="Arial" w:hAnsi="Arial"/>
          <w:sz w:val="22"/>
          <w:szCs w:val="22"/>
        </w:rPr>
      </w:pPr>
      <w:r>
        <w:rPr>
          <w:rStyle w:val="Hyperlink5"/>
          <w:rFonts w:ascii="Arial" w:hAnsi="Arial"/>
          <w:sz w:val="22"/>
          <w:szCs w:val="22"/>
        </w:rPr>
        <w:t>nel caso di avvalimento per migliorare l’offerta: Parte II, Sezioni A, B; Parte III, Sezioni A, B, C e D; Parte VI;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DGUE dovrà essere compilato nelle parti pertinenti.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Si raccomanda particolare attenzione nella compilazione di quanto segue: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 xml:space="preserve">Parte I – Informazioni sulla procedura di appalto e sull’amministrazione aggiudicatrice o ente </w:t>
      </w:r>
      <w:r>
        <w:rPr>
          <w:rStyle w:val="Nessuno"/>
          <w:rFonts w:ascii="Arial" w:hAnsi="Arial"/>
          <w:b/>
          <w:bCs/>
          <w:sz w:val="22"/>
          <w:szCs w:val="22"/>
        </w:rPr>
        <w:lastRenderedPageBreak/>
        <w:t>aggiudicatore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deve rendere tutte le informazioni richieste relative alla procedura</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II – Informazioni sull’Operatore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In caso di ricorso all’avvalimento si chiede la compilazione della Sezione C</w:t>
      </w:r>
    </w:p>
    <w:p w:rsidR="00914394" w:rsidRDefault="00000000">
      <w:pPr>
        <w:pStyle w:val="Textbody"/>
        <w:ind w:left="142"/>
        <w:rPr>
          <w:rStyle w:val="Nessuno"/>
          <w:rFonts w:ascii="Arial" w:eastAsia="Arial" w:hAnsi="Arial" w:cs="Arial"/>
          <w:sz w:val="22"/>
          <w:szCs w:val="22"/>
        </w:rPr>
      </w:pPr>
      <w:r>
        <w:rPr>
          <w:rStyle w:val="Nessuno"/>
          <w:rFonts w:ascii="Arial" w:hAnsi="Arial"/>
          <w:sz w:val="22"/>
          <w:szCs w:val="22"/>
          <w:u w:val="single"/>
        </w:rPr>
        <w:t>Solo nel caso di avvalimento per soddisfare i requisiti di partecipazione</w:t>
      </w:r>
      <w:r>
        <w:rPr>
          <w:rStyle w:val="Nessuno"/>
          <w:rFonts w:ascii="Arial" w:hAnsi="Arial"/>
          <w:sz w:val="22"/>
          <w:szCs w:val="22"/>
        </w:rPr>
        <w:t>: il concorrente dovrà compilare le informazioni di cui alle lettere a), b) e c);</w:t>
      </w:r>
    </w:p>
    <w:p w:rsidR="00914394" w:rsidRDefault="00000000">
      <w:pPr>
        <w:pStyle w:val="Textbody"/>
        <w:ind w:left="142"/>
        <w:rPr>
          <w:rStyle w:val="Nessuno"/>
          <w:rFonts w:ascii="Arial" w:eastAsia="Arial" w:hAnsi="Arial" w:cs="Arial"/>
          <w:sz w:val="22"/>
          <w:szCs w:val="22"/>
        </w:rPr>
      </w:pPr>
      <w:r>
        <w:rPr>
          <w:rStyle w:val="Nessuno"/>
          <w:rFonts w:ascii="Arial" w:hAnsi="Arial"/>
          <w:sz w:val="22"/>
          <w:szCs w:val="22"/>
          <w:u w:val="single"/>
        </w:rPr>
        <w:t>Nel caso di avvalimento per migliorare l’offerta</w:t>
      </w:r>
      <w:r>
        <w:rPr>
          <w:rStyle w:val="Nessuno"/>
          <w:rFonts w:ascii="Arial" w:hAnsi="Arial"/>
          <w:sz w:val="22"/>
          <w:szCs w:val="22"/>
        </w:rPr>
        <w:t>: il concorrente dovrà compilare solo la lettera a) e specificare nella domanda di partecipazione che si tratta di avvalimento per migliorare l’offerta senza, tuttavia, indicare i requisiti tecnici migliorativi che mette a disposizione.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In caso di ricorso al subappalto si richiede la compilazione della sezione D.</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indica all’atto dell’offerta le parti del lavoro che intende subappaltare o concedere in cottimo. In caso di mancata indicazione delle prestazioni da subappaltare, il subappalto è vietato.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indica, quindi, nel DGUE, l’elenco delle prestazioni che intende subappaltare specificando, eventualmente, la relativa quota percentuale.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III – Motivi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L’operatore economico dovrà tener conto di quanto segue.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cause automatiche di esclusione di cui all’art. 94, commi 1 e 2, del Codice sono rese dall’operatore economico in relazione a tutti i soggetti indicati ai commi 3 e 4 del medesimo art. 94.</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cause non automatiche di esclusione di cui all’art. 98, comma 3 – lett. g) ed h), del Codice sono rese dall’operatore economico in relazione ai soggetti di cui all’art. 94, comma 3, del Codice.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altre cause di esclusione sono rese in relazione all’operatore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Con riferimento alle cause di esclusione di cui all’art. 95 del Codice, il concorrente dichiara: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le gravi infrazioni di cui all’art. 95, comma 1 – lett. a), del Codice commesse nei tre anni antecedenti la data della lettera di invito a gara;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gli atti e i provvedimenti indicati all’art. 98, comma 6, del Codice emessi nei tre anni antecedenti la data della lettera di invito a gara;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tutti gli altri comportamenti di cui all’art. 98 del Codice commessi nei tre anni antecedenti la data della lettera di invito a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dichiarazione di cui sopra deve essere resa anche nel caso di impugnazione in giudizio dei relativi provvedimenti.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L’operatore economico dichiara la sussistenza delle cause di esclusione che si sono verificate prima della presentazione dell’offerta e indica le misure del </w:t>
      </w:r>
      <w:r>
        <w:rPr>
          <w:rStyle w:val="Nessuno"/>
          <w:rFonts w:ascii="Arial" w:hAnsi="Arial"/>
          <w:i/>
          <w:iCs/>
          <w:sz w:val="22"/>
          <w:szCs w:val="22"/>
        </w:rPr>
        <w:t>self-</w:t>
      </w:r>
      <w:proofErr w:type="spellStart"/>
      <w:r>
        <w:rPr>
          <w:rStyle w:val="Nessuno"/>
          <w:rFonts w:ascii="Arial" w:hAnsi="Arial"/>
          <w:i/>
          <w:iCs/>
          <w:sz w:val="22"/>
          <w:szCs w:val="22"/>
        </w:rPr>
        <w:t>cleaning</w:t>
      </w:r>
      <w:proofErr w:type="spellEnd"/>
      <w:r>
        <w:rPr>
          <w:rStyle w:val="Nessuno"/>
          <w:rFonts w:ascii="Arial" w:hAnsi="Arial"/>
          <w:sz w:val="22"/>
          <w:szCs w:val="22"/>
        </w:rPr>
        <w:t xml:space="preserve"> adottate oppure dimostra l’impossibilità di adottare tali misure prima della presentazione dell’offerta. L’operatore economico, sia in tale ultimo caso che nel caso in cui la causa di esclusione si sia verificata dopo la presentazione dell’offerta, adotta e comunica le misure di </w:t>
      </w:r>
      <w:r>
        <w:rPr>
          <w:rStyle w:val="Nessuno"/>
          <w:rFonts w:ascii="Arial" w:hAnsi="Arial"/>
          <w:i/>
          <w:iCs/>
          <w:sz w:val="22"/>
          <w:szCs w:val="22"/>
        </w:rPr>
        <w:t>self-</w:t>
      </w:r>
      <w:proofErr w:type="spellStart"/>
      <w:r>
        <w:rPr>
          <w:rStyle w:val="Nessuno"/>
          <w:rFonts w:ascii="Arial" w:hAnsi="Arial"/>
          <w:i/>
          <w:iCs/>
          <w:sz w:val="22"/>
          <w:szCs w:val="22"/>
        </w:rPr>
        <w:t>cleaning</w:t>
      </w:r>
      <w:proofErr w:type="spellEnd"/>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l’operatore economico omette di comunicare alla Stazione Appaltante la sussistenza dei fatti e dei provvedimenti che possono costituire una causa di esclusione ai sensi degli artt. 94 e 95 del Codice e detti fatti o provvedimenti non risultino nel FVOE, il triennio di rilevanza inizia a decorrere dalla data in cui la Stazione Appaltante ha acquisito gli stessi, anziché dalla commissione del fatto o dall’adozione del provvedimento.</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Con riferimento alla Parte III, Sezione B</w:t>
      </w:r>
      <w:r>
        <w:rPr>
          <w:rStyle w:val="Nessuno"/>
          <w:rFonts w:ascii="Arial" w:hAnsi="Arial"/>
          <w:sz w:val="22"/>
          <w:szCs w:val="22"/>
        </w:rPr>
        <w:t>, si precisa che ciascun operatore tenuto a rendere la dichiarazione dovrà indicare, relativamente alla fattispecie di cui all’art. 95 – comma 2 – del Codice, limitatamente alle violazioni non definitivamente accertate in materia fiscale, esclusivamente quelle il cui importo, con esclusione di sanzioni e interessi, sia pari o superiore a 35.000 euro. A tale fine nella apposita sezione del DGUE dovranno essere indicati, oltre all’importo della violazione (con eventuale evidenza separata di sanzioni e interessi), la data di notifica dell’accertamento e l’eventuale stato del giudizio.</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IV – Criteri di selezione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dichiara di possedere tutti i requisiti richiesti dai criteri di selezione compilando la pertinente Sezione in funzione dei requisiti richiesti per partecipare alla procedura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particolare, in relazione ai requisiti di idoneità professionale, nella pertinente sezione, il concorrente dovrà dichiarare, fornendo tutte le informazioni necessarie:</w:t>
      </w:r>
    </w:p>
    <w:p w:rsidR="00914394" w:rsidRDefault="00000000">
      <w:pPr>
        <w:pStyle w:val="Textbody"/>
        <w:numPr>
          <w:ilvl w:val="0"/>
          <w:numId w:val="75"/>
        </w:numPr>
        <w:rPr>
          <w:rFonts w:ascii="Arial" w:hAnsi="Arial"/>
          <w:sz w:val="22"/>
          <w:szCs w:val="22"/>
        </w:rPr>
      </w:pPr>
      <w:r>
        <w:rPr>
          <w:rStyle w:val="Hyperlink5"/>
          <w:rFonts w:ascii="Arial" w:hAnsi="Arial"/>
          <w:sz w:val="22"/>
          <w:szCs w:val="22"/>
        </w:rPr>
        <w:t xml:space="preserve">L’iscrizione nel registro della camera di commercio, industria, artigianato e agricoltura o nel registro delle commissioni provinciali per l’artigianato o presso i competenti ordini </w:t>
      </w:r>
      <w:r>
        <w:rPr>
          <w:rStyle w:val="Hyperlink5"/>
          <w:rFonts w:ascii="Arial" w:hAnsi="Arial"/>
          <w:sz w:val="22"/>
          <w:szCs w:val="22"/>
        </w:rPr>
        <w:lastRenderedPageBreak/>
        <w:t>professionali per un’attività pertinente anche se non coincidente con l’oggetto dell’appalto. All’operatore economico di altro Stato membro non residente in Italia è richiesto di dichiarare ai sensi del testo unico delle disposizioni legislative e regolamentari in materia di documentazione amministrativa, di cui al decreto del Presidente della Repubblica del 28 dicembre 2000, n. 445, di essere iscritto in uno dei registri professionali o commerciali di cui all’allegato II.11.</w:t>
      </w:r>
    </w:p>
    <w:p w:rsidR="00914394" w:rsidRDefault="00000000">
      <w:pPr>
        <w:pStyle w:val="Textbody"/>
        <w:numPr>
          <w:ilvl w:val="0"/>
          <w:numId w:val="75"/>
        </w:numPr>
        <w:rPr>
          <w:rFonts w:ascii="Arial" w:hAnsi="Arial"/>
          <w:sz w:val="22"/>
          <w:szCs w:val="22"/>
        </w:rPr>
      </w:pPr>
      <w:r>
        <w:rPr>
          <w:rStyle w:val="Hyperlink5"/>
          <w:rFonts w:ascii="Arial" w:hAnsi="Arial"/>
          <w:sz w:val="22"/>
          <w:szCs w:val="22"/>
        </w:rPr>
        <w:t>Di rivestire la qualità di:</w:t>
      </w:r>
    </w:p>
    <w:p w:rsidR="00914394" w:rsidRDefault="00000000">
      <w:pPr>
        <w:pStyle w:val="Textbody"/>
        <w:numPr>
          <w:ilvl w:val="1"/>
          <w:numId w:val="75"/>
        </w:numPr>
        <w:rPr>
          <w:rFonts w:ascii="Arial" w:hAnsi="Arial"/>
          <w:sz w:val="22"/>
          <w:szCs w:val="22"/>
        </w:rPr>
      </w:pPr>
      <w:r>
        <w:rPr>
          <w:rStyle w:val="Hyperlink5"/>
          <w:rFonts w:ascii="Arial" w:hAnsi="Arial"/>
          <w:sz w:val="22"/>
          <w:szCs w:val="22"/>
        </w:rPr>
        <w:t xml:space="preserve">Agenzia per il Lavoro (APL) iscritta all’Albo tenuto presso il Ministero del Lavoro e delle Politiche Sociali – Sezione 2 e/o all’elenco Unico dei Soggetti Autorizzati all’erogazione dei Servizi per il Lavoro in Sicilia tenuto presso la Regione Siciliana </w:t>
      </w:r>
      <w:r w:rsidR="00485A18">
        <w:rPr>
          <w:rStyle w:val="Hyperlink5"/>
          <w:rFonts w:ascii="Arial" w:hAnsi="Arial"/>
          <w:sz w:val="22"/>
          <w:szCs w:val="22"/>
        </w:rPr>
        <w:t xml:space="preserve">ovvero presso Albo/Elenco equivalente tenuto da altra Regione </w:t>
      </w:r>
      <w:r>
        <w:rPr>
          <w:rStyle w:val="Hyperlink5"/>
          <w:rFonts w:ascii="Arial" w:hAnsi="Arial"/>
          <w:sz w:val="22"/>
          <w:szCs w:val="22"/>
        </w:rPr>
        <w:t xml:space="preserve">e/o all’elenco Unico dei Soggetti Autorizzati all’erogazione dei Servizi per il Lavoro in Sicilia tenuto presso la Regione Siciliana ovvero presso Albo/Elenco equivalente tenuto </w:t>
      </w:r>
      <w:r w:rsidR="00485A18">
        <w:rPr>
          <w:rStyle w:val="Hyperlink5"/>
          <w:rFonts w:ascii="Arial" w:hAnsi="Arial"/>
          <w:sz w:val="22"/>
          <w:szCs w:val="22"/>
        </w:rPr>
        <w:t>da</w:t>
      </w:r>
      <w:r>
        <w:rPr>
          <w:rStyle w:val="Hyperlink5"/>
          <w:rFonts w:ascii="Arial" w:hAnsi="Arial"/>
          <w:sz w:val="22"/>
          <w:szCs w:val="22"/>
        </w:rPr>
        <w:t xml:space="preserve"> altra Regione;</w:t>
      </w:r>
    </w:p>
    <w:p w:rsidR="00914394" w:rsidRDefault="00000000">
      <w:pPr>
        <w:pStyle w:val="Textbody"/>
        <w:numPr>
          <w:ilvl w:val="1"/>
          <w:numId w:val="75"/>
        </w:numPr>
        <w:rPr>
          <w:rFonts w:ascii="Arial" w:hAnsi="Arial"/>
          <w:sz w:val="22"/>
          <w:szCs w:val="22"/>
        </w:rPr>
      </w:pPr>
      <w:r>
        <w:rPr>
          <w:rStyle w:val="Hyperlink5"/>
          <w:rFonts w:ascii="Arial" w:hAnsi="Arial"/>
          <w:sz w:val="22"/>
          <w:szCs w:val="22"/>
        </w:rPr>
        <w:t>Ente di formazione accreditato presso la Regione Siciliana per la macro-tipologia “A- Orientamento” ovvero con accreditamento equivalente presso altra Regione.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relazione ai requisiti di capacità economica e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 Fatturato globale maturato nel triennio precedente almeno pari al 50% dell’importo a base d’asta.</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VI – Criteri di selezione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15.3 – DICHIARAZIONI INTEGRATIVE DEL CONCORRENTE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Con le dichiarazioni integrative, sottoscritte dal legale rappresentante dell’impresa o da altro soggetto secondo le modalità indicate nel paragrafo 15.1, il concorrente dichiara:</w:t>
      </w:r>
    </w:p>
    <w:p w:rsidR="00914394" w:rsidRDefault="00000000">
      <w:pPr>
        <w:pStyle w:val="Paragrafoelenco"/>
        <w:numPr>
          <w:ilvl w:val="0"/>
          <w:numId w:val="77"/>
        </w:numPr>
        <w:suppressAutoHyphens w:val="0"/>
        <w:jc w:val="both"/>
        <w:rPr>
          <w:rFonts w:ascii="Arial" w:hAnsi="Arial"/>
          <w:sz w:val="22"/>
          <w:szCs w:val="22"/>
        </w:rPr>
      </w:pPr>
      <w:r>
        <w:rPr>
          <w:rStyle w:val="Hyperlink5"/>
          <w:rFonts w:ascii="Arial" w:hAnsi="Arial"/>
          <w:sz w:val="22"/>
          <w:szCs w:val="22"/>
        </w:rPr>
        <w:t>di non partecipare 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rsidR="00914394" w:rsidRDefault="00000000">
      <w:pPr>
        <w:pStyle w:val="Textbody"/>
        <w:numPr>
          <w:ilvl w:val="0"/>
          <w:numId w:val="77"/>
        </w:numPr>
        <w:rPr>
          <w:rFonts w:ascii="Arial" w:hAnsi="Arial"/>
          <w:sz w:val="22"/>
          <w:szCs w:val="22"/>
        </w:rPr>
      </w:pPr>
      <w:r>
        <w:rPr>
          <w:rStyle w:val="Hyperlink5"/>
          <w:rFonts w:ascii="Arial" w:hAnsi="Arial"/>
          <w:sz w:val="22"/>
          <w:szCs w:val="22"/>
        </w:rPr>
        <w:t xml:space="preserve">di impegnarsi ad applicare al proprio personale il medesimo CCNL indicato negli atti di gara;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o in alternativa </w:t>
      </w:r>
    </w:p>
    <w:p w:rsidR="00914394" w:rsidRDefault="00000000">
      <w:pPr>
        <w:pStyle w:val="Textbody"/>
        <w:ind w:left="720"/>
        <w:rPr>
          <w:rStyle w:val="Nessuno"/>
          <w:rFonts w:ascii="Arial" w:eastAsia="Arial" w:hAnsi="Arial" w:cs="Arial"/>
          <w:sz w:val="22"/>
          <w:szCs w:val="22"/>
        </w:rPr>
      </w:pPr>
      <w:r>
        <w:rPr>
          <w:rStyle w:val="Nessuno"/>
          <w:rFonts w:ascii="Arial" w:hAnsi="Arial"/>
          <w:sz w:val="22"/>
          <w:szCs w:val="22"/>
        </w:rPr>
        <w:t xml:space="preserve">di applicare al proprio personale il seguente CCNL .......................... </w:t>
      </w:r>
      <w:r>
        <w:rPr>
          <w:rStyle w:val="Nessuno"/>
          <w:rFonts w:ascii="Arial" w:hAnsi="Arial"/>
          <w:i/>
          <w:iCs/>
          <w:sz w:val="22"/>
          <w:szCs w:val="22"/>
        </w:rPr>
        <w:t xml:space="preserve">(indicare il CCNL applicato) </w:t>
      </w:r>
      <w:r>
        <w:rPr>
          <w:rStyle w:val="Nessuno"/>
          <w:rFonts w:ascii="Arial" w:hAnsi="Arial"/>
          <w:sz w:val="22"/>
          <w:szCs w:val="22"/>
        </w:rPr>
        <w:t xml:space="preserve">identificato dal codice alfanumerico unico ..............., ma di impegnarsi ad applicare il contratto collettivo nazionale e territoriale indicato negli atti di gara nell’esecuzione delle prestazioni oggetto del contratto per tutta la sua durata;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o in alternativa </w:t>
      </w:r>
    </w:p>
    <w:p w:rsidR="00914394" w:rsidRDefault="00000000">
      <w:pPr>
        <w:pStyle w:val="Textbody"/>
        <w:ind w:left="720"/>
        <w:rPr>
          <w:rStyle w:val="Nessuno"/>
          <w:rFonts w:ascii="Arial" w:eastAsia="Arial" w:hAnsi="Arial" w:cs="Arial"/>
          <w:sz w:val="22"/>
          <w:szCs w:val="22"/>
        </w:rPr>
      </w:pPr>
      <w:r>
        <w:rPr>
          <w:rStyle w:val="Nessuno"/>
          <w:rFonts w:ascii="Arial" w:hAnsi="Arial"/>
          <w:sz w:val="22"/>
          <w:szCs w:val="22"/>
        </w:rPr>
        <w:t xml:space="preserve">di applicare al proprio personale il seguente CCNL ............... </w:t>
      </w:r>
      <w:r>
        <w:rPr>
          <w:rStyle w:val="Nessuno"/>
          <w:rFonts w:ascii="Arial" w:hAnsi="Arial"/>
          <w:i/>
          <w:iCs/>
          <w:sz w:val="22"/>
          <w:szCs w:val="22"/>
        </w:rPr>
        <w:t xml:space="preserve">(indicare il CCNL applicato) </w:t>
      </w:r>
      <w:r>
        <w:rPr>
          <w:rStyle w:val="Nessuno"/>
          <w:rFonts w:ascii="Arial" w:hAnsi="Arial"/>
          <w:sz w:val="22"/>
          <w:szCs w:val="22"/>
        </w:rPr>
        <w:t xml:space="preserve">identificato dal codice alfanumerico unico ............... che garantisce le stesse tutele economico e normative rispetto a quello indicato negli atti di gara, come evidenziato nella dichiarazione di equivalenza allegata all’offerta tecnica;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[nei casi di cui all’art. 96, comma 3 del Codice il concorrente </w:t>
      </w:r>
      <w:proofErr w:type="spellStart"/>
      <w:r>
        <w:rPr>
          <w:rStyle w:val="Nessuno"/>
          <w:rFonts w:ascii="Arial" w:hAnsi="Arial"/>
          <w:b/>
          <w:bCs/>
          <w:i/>
          <w:iCs/>
          <w:sz w:val="22"/>
          <w:szCs w:val="22"/>
        </w:rPr>
        <w:t>dovra</w:t>
      </w:r>
      <w:proofErr w:type="spellEnd"/>
      <w:r>
        <w:rPr>
          <w:rStyle w:val="Nessuno"/>
          <w:rFonts w:ascii="Arial" w:hAnsi="Arial"/>
          <w:b/>
          <w:bCs/>
          <w:i/>
          <w:iCs/>
          <w:sz w:val="22"/>
          <w:szCs w:val="22"/>
        </w:rPr>
        <w:t xml:space="preserve">̀ dichiarare]: </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aver adottato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e aver inserito nel FVOE la relazione che illustra le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adottate; </w:t>
      </w:r>
    </w:p>
    <w:p w:rsidR="00914394" w:rsidRDefault="00000000">
      <w:pPr>
        <w:pStyle w:val="Textbody"/>
        <w:ind w:firstLine="709"/>
        <w:rPr>
          <w:rStyle w:val="Nessuno"/>
          <w:rFonts w:ascii="Arial" w:eastAsia="Arial" w:hAnsi="Arial" w:cs="Arial"/>
          <w:b/>
          <w:bCs/>
          <w:i/>
          <w:iCs/>
          <w:sz w:val="22"/>
          <w:szCs w:val="22"/>
        </w:rPr>
      </w:pPr>
      <w:r>
        <w:rPr>
          <w:rStyle w:val="Nessuno"/>
          <w:rFonts w:ascii="Arial" w:hAnsi="Arial"/>
          <w:b/>
          <w:bCs/>
          <w:i/>
          <w:iCs/>
          <w:sz w:val="22"/>
          <w:szCs w:val="22"/>
        </w:rPr>
        <w:t>e/o</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non aver adottato le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prima della presentazione dell’offerta per i motivi indicati nella relazione inserita nel FVOE e che si impegna ad adottarle, comunicandole alla stazione appaltante, e ad inserirle nel FVOE;</w:t>
      </w:r>
    </w:p>
    <w:p w:rsidR="00485A18" w:rsidRDefault="00000000" w:rsidP="00485A18">
      <w:pPr>
        <w:pStyle w:val="Textbody"/>
        <w:numPr>
          <w:ilvl w:val="0"/>
          <w:numId w:val="79"/>
        </w:numPr>
        <w:rPr>
          <w:rFonts w:ascii="Arial" w:hAnsi="Arial"/>
          <w:sz w:val="22"/>
          <w:szCs w:val="22"/>
          <w:shd w:val="clear" w:color="auto" w:fill="FEFFFF"/>
        </w:rPr>
      </w:pPr>
      <w:r>
        <w:rPr>
          <w:rFonts w:ascii="Arial" w:hAnsi="Arial"/>
          <w:sz w:val="22"/>
          <w:szCs w:val="22"/>
          <w:shd w:val="clear" w:color="auto" w:fill="FEFFFF"/>
        </w:rPr>
        <w:t xml:space="preserve">di essere edotto dei principi e, per quanto compatibili, dei doveri di condotta richiamati nel </w:t>
      </w:r>
      <w:r>
        <w:rPr>
          <w:rStyle w:val="Nessuno"/>
          <w:rFonts w:ascii="Arial" w:hAnsi="Arial"/>
          <w:sz w:val="22"/>
          <w:szCs w:val="22"/>
          <w:u w:val="single"/>
          <w:shd w:val="clear" w:color="auto" w:fill="FEFFFF"/>
        </w:rPr>
        <w:t xml:space="preserve">Decreto del Presidente della Repubblica 16 aprile 2013 n. 62 </w:t>
      </w:r>
      <w:r>
        <w:rPr>
          <w:rFonts w:ascii="Arial" w:hAnsi="Arial"/>
          <w:sz w:val="22"/>
          <w:szCs w:val="22"/>
          <w:shd w:val="clear" w:color="auto" w:fill="FEFFFF"/>
        </w:rPr>
        <w:t>e di impegnarsi, in caso di aggiudicazione, a uniformarsi</w:t>
      </w:r>
      <w:bookmarkEnd w:id="1"/>
      <w:r>
        <w:rPr>
          <w:rFonts w:ascii="Arial" w:hAnsi="Arial"/>
          <w:sz w:val="22"/>
          <w:szCs w:val="22"/>
          <w:shd w:val="clear" w:color="auto" w:fill="FEFFFF"/>
        </w:rPr>
        <w:t xml:space="preserve"> e a osservare quanto ivi contenuto ai propri dipendenti e collaboratori, per quanto applicabile, pena la risoluzione del contratto;</w:t>
      </w:r>
    </w:p>
    <w:p w:rsidR="00485A18" w:rsidRPr="00485A18" w:rsidRDefault="00485A18" w:rsidP="00485A18">
      <w:pPr>
        <w:pStyle w:val="Textbody"/>
        <w:numPr>
          <w:ilvl w:val="0"/>
          <w:numId w:val="79"/>
        </w:numPr>
        <w:rPr>
          <w:rFonts w:ascii="Arial" w:hAnsi="Arial"/>
          <w:sz w:val="22"/>
          <w:szCs w:val="22"/>
          <w:shd w:val="clear" w:color="auto" w:fill="FEFFFF"/>
        </w:rPr>
      </w:pPr>
      <w:r w:rsidRPr="00485A18">
        <w:rPr>
          <w:rFonts w:ascii="Arial" w:hAnsi="Arial"/>
          <w:sz w:val="22"/>
          <w:szCs w:val="22"/>
          <w:shd w:val="clear" w:color="auto" w:fill="FEFFFF"/>
        </w:rPr>
        <w:t xml:space="preserve">coerentemente e a integrazione di quanto già dichiarato nel DGUE, di </w:t>
      </w:r>
      <w:r w:rsidR="00D45881">
        <w:rPr>
          <w:rStyle w:val="Hyperlink5"/>
          <w:rFonts w:ascii="Arial" w:hAnsi="Arial"/>
          <w:sz w:val="22"/>
          <w:szCs w:val="22"/>
        </w:rPr>
        <w:t>e</w:t>
      </w:r>
      <w:r w:rsidRPr="00485A18">
        <w:rPr>
          <w:rStyle w:val="Hyperlink5"/>
          <w:rFonts w:ascii="Arial" w:hAnsi="Arial"/>
          <w:sz w:val="22"/>
          <w:szCs w:val="22"/>
        </w:rPr>
        <w:t>ssere in possesso della duplice qualità di:</w:t>
      </w:r>
    </w:p>
    <w:p w:rsidR="00485A18" w:rsidRDefault="00485A18" w:rsidP="00485A18">
      <w:pPr>
        <w:pStyle w:val="Textbody"/>
        <w:numPr>
          <w:ilvl w:val="1"/>
          <w:numId w:val="40"/>
        </w:numPr>
        <w:rPr>
          <w:rFonts w:ascii="Arial" w:hAnsi="Arial"/>
          <w:sz w:val="22"/>
          <w:szCs w:val="22"/>
        </w:rPr>
      </w:pPr>
      <w:r>
        <w:rPr>
          <w:rStyle w:val="Hyperlink5"/>
          <w:rFonts w:ascii="Arial" w:hAnsi="Arial"/>
          <w:sz w:val="22"/>
          <w:szCs w:val="22"/>
        </w:rPr>
        <w:t xml:space="preserve">Agenzia per il Lavoro (APL) iscritta all’Albo tenuto presso il Ministero del Lavoro e delle Politiche Sociali – Sezione 2 e/o all’elenco Unico dei Soggetti Autorizzati all’erogazione dei Servizi per il Lavoro in Sicilia tenuto presso la Regione Siciliana ovvero presso Albo/Elenco equivalente tenuto da altra Regione e/o all’elenco Unico dei Soggetti Autorizzati all’erogazione dei Servizi per il Lavoro in Sicilia tenuto presso </w:t>
      </w:r>
      <w:r>
        <w:rPr>
          <w:rStyle w:val="Hyperlink5"/>
          <w:rFonts w:ascii="Arial" w:hAnsi="Arial"/>
          <w:sz w:val="22"/>
          <w:szCs w:val="22"/>
        </w:rPr>
        <w:lastRenderedPageBreak/>
        <w:t>la Regione Siciliana ovvero presso Albo/Elenco equivalente;</w:t>
      </w:r>
    </w:p>
    <w:p w:rsidR="00914394" w:rsidRPr="00485A18" w:rsidRDefault="00485A18" w:rsidP="00485A18">
      <w:pPr>
        <w:pStyle w:val="Textbody"/>
        <w:numPr>
          <w:ilvl w:val="1"/>
          <w:numId w:val="40"/>
        </w:numPr>
        <w:rPr>
          <w:rFonts w:ascii="Arial" w:hAnsi="Arial"/>
          <w:sz w:val="22"/>
          <w:szCs w:val="22"/>
        </w:rPr>
      </w:pPr>
      <w:r>
        <w:rPr>
          <w:rStyle w:val="Hyperlink5"/>
          <w:rFonts w:ascii="Arial" w:hAnsi="Arial"/>
          <w:sz w:val="22"/>
          <w:szCs w:val="22"/>
        </w:rPr>
        <w:t xml:space="preserve">Ente di formazione accreditato presso la Regione Siciliana per la macro-tipologia “A- Orientamento” </w:t>
      </w:r>
      <w:r w:rsidRPr="00485A18">
        <w:rPr>
          <w:rStyle w:val="Hyperlink5"/>
          <w:rFonts w:ascii="Arial" w:hAnsi="Arial"/>
          <w:b/>
          <w:bCs/>
          <w:sz w:val="22"/>
          <w:szCs w:val="22"/>
        </w:rPr>
        <w:t>ovvero</w:t>
      </w:r>
      <w:r>
        <w:rPr>
          <w:rStyle w:val="Hyperlink5"/>
          <w:rFonts w:ascii="Arial" w:hAnsi="Arial"/>
          <w:sz w:val="22"/>
          <w:szCs w:val="22"/>
        </w:rPr>
        <w:t xml:space="preserve"> con accreditamento equivalente presso altra Regione, impegnandosi in tal caso a ottenere il pertinente accreditamento presso la Regione Siciliana entro e non oltre 60 gg dalla comunicazione di aggiudicazione, termine massimo entro il quale verrà sottoscritto il Contratto, </w:t>
      </w:r>
      <w:r>
        <w:rPr>
          <w:rStyle w:val="Nessuno"/>
          <w:rFonts w:ascii="Arial" w:hAnsi="Arial"/>
          <w:b/>
          <w:bCs/>
          <w:sz w:val="22"/>
          <w:szCs w:val="22"/>
        </w:rPr>
        <w:t>a pena di revoca</w:t>
      </w:r>
      <w:r>
        <w:rPr>
          <w:rStyle w:val="Hyperlink5"/>
          <w:rFonts w:ascii="Arial" w:hAnsi="Arial"/>
          <w:sz w:val="22"/>
          <w:szCs w:val="22"/>
        </w:rPr>
        <w:t xml:space="preserve"> dell’aggiudicazione stessa;</w:t>
      </w:r>
    </w:p>
    <w:p w:rsidR="00914394" w:rsidRDefault="00000000">
      <w:pPr>
        <w:pStyle w:val="Textbody"/>
        <w:numPr>
          <w:ilvl w:val="0"/>
          <w:numId w:val="79"/>
        </w:numPr>
        <w:rPr>
          <w:rFonts w:ascii="Arial" w:hAnsi="Arial"/>
          <w:sz w:val="22"/>
          <w:szCs w:val="22"/>
          <w:shd w:val="clear" w:color="auto" w:fill="FEFFFF"/>
        </w:rPr>
      </w:pPr>
      <w:r>
        <w:rPr>
          <w:rFonts w:ascii="Arial" w:hAnsi="Arial"/>
          <w:sz w:val="22"/>
          <w:szCs w:val="22"/>
          <w:shd w:val="clear" w:color="auto" w:fill="FEFFFF"/>
        </w:rPr>
        <w:t>d</w:t>
      </w:r>
      <w:r>
        <w:rPr>
          <w:rStyle w:val="Hyperlink5"/>
          <w:rFonts w:ascii="Arial" w:hAnsi="Arial"/>
          <w:sz w:val="22"/>
          <w:szCs w:val="22"/>
          <w:shd w:val="clear" w:color="auto" w:fill="FEFFFF"/>
        </w:rPr>
        <w:t xml:space="preserve">i essere in possesso di sedi accreditate presso le località di realizzazione del servizio per lo svolgimento di attività di orientamento formativo </w:t>
      </w:r>
      <w:r>
        <w:rPr>
          <w:rStyle w:val="Nessuno"/>
          <w:rFonts w:ascii="Arial" w:hAnsi="Arial"/>
          <w:b/>
          <w:bCs/>
          <w:i/>
          <w:iCs/>
          <w:sz w:val="22"/>
          <w:szCs w:val="22"/>
          <w:shd w:val="clear" w:color="auto" w:fill="FEFFFF"/>
        </w:rPr>
        <w:t>ovvero</w:t>
      </w:r>
      <w:r>
        <w:rPr>
          <w:rStyle w:val="Nessuno"/>
          <w:rFonts w:ascii="Arial" w:hAnsi="Arial"/>
          <w:i/>
          <w:iCs/>
          <w:sz w:val="22"/>
          <w:szCs w:val="22"/>
          <w:shd w:val="clear" w:color="auto" w:fill="FEFFFF"/>
        </w:rPr>
        <w:t xml:space="preserve"> </w:t>
      </w:r>
      <w:r>
        <w:rPr>
          <w:rStyle w:val="Hyperlink5"/>
          <w:rFonts w:ascii="Arial" w:hAnsi="Arial"/>
          <w:sz w:val="22"/>
          <w:szCs w:val="22"/>
          <w:shd w:val="clear" w:color="auto" w:fill="FEFFFF"/>
        </w:rPr>
        <w:t xml:space="preserve">di impegnarsi, in caso di aggiudicazione, a mettere a disposizione sedi accreditate presso le località di realizzazione del servizio per lo svolgimento di attività di orientamento formativo, dovendovi in tal caso provvedere entro e non oltre 60 gg dalla comunicazione di aggiudicazione, termine massimo entro il quale </w:t>
      </w:r>
      <w:proofErr w:type="spellStart"/>
      <w:r>
        <w:rPr>
          <w:rStyle w:val="Hyperlink5"/>
          <w:rFonts w:ascii="Arial" w:hAnsi="Arial"/>
          <w:sz w:val="22"/>
          <w:szCs w:val="22"/>
          <w:shd w:val="clear" w:color="auto" w:fill="FEFFFF"/>
        </w:rPr>
        <w:t>verra</w:t>
      </w:r>
      <w:proofErr w:type="spellEnd"/>
      <w:r>
        <w:rPr>
          <w:rStyle w:val="Hyperlink5"/>
          <w:rFonts w:ascii="Arial" w:hAnsi="Arial"/>
          <w:sz w:val="22"/>
          <w:szCs w:val="22"/>
          <w:shd w:val="clear" w:color="auto" w:fill="FEFFFF"/>
        </w:rPr>
        <w:t xml:space="preserve">̀ sottoscritto il Contratto, </w:t>
      </w:r>
      <w:r>
        <w:rPr>
          <w:rStyle w:val="Nessuno"/>
          <w:rFonts w:ascii="Arial" w:hAnsi="Arial"/>
          <w:b/>
          <w:bCs/>
          <w:sz w:val="22"/>
          <w:szCs w:val="22"/>
          <w:shd w:val="clear" w:color="auto" w:fill="FEFFFF"/>
        </w:rPr>
        <w:t>a pena di revoca</w:t>
      </w:r>
      <w:r>
        <w:rPr>
          <w:rStyle w:val="Hyperlink5"/>
          <w:rFonts w:ascii="Arial" w:hAnsi="Arial"/>
          <w:sz w:val="22"/>
          <w:szCs w:val="22"/>
          <w:shd w:val="clear" w:color="auto" w:fill="FEFFFF"/>
        </w:rPr>
        <w:t xml:space="preserve"> dell’aggiudicazione stessa.</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Il numero di dipendenti impiegati alla data di presentazione dell’offerta;</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aver assolto agli obblighi di cui alla legge n. 68/1999 </w:t>
      </w:r>
      <w:r>
        <w:rPr>
          <w:rStyle w:val="Nessuno"/>
          <w:rFonts w:ascii="Arial" w:hAnsi="Arial"/>
          <w:b/>
          <w:bCs/>
          <w:i/>
          <w:iCs/>
          <w:sz w:val="22"/>
          <w:szCs w:val="22"/>
        </w:rPr>
        <w:t xml:space="preserve">ovvero </w:t>
      </w:r>
      <w:r>
        <w:rPr>
          <w:rStyle w:val="Hyperlink5"/>
          <w:rFonts w:ascii="Arial" w:hAnsi="Arial"/>
          <w:sz w:val="22"/>
          <w:szCs w:val="22"/>
        </w:rPr>
        <w:t>che le norme che disciplinano il diritto al lavoro dei disabili di cui alla legge n. 68/1999 non si applicano all’impresa indicandone le ragioni;</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di non essere incorso nell’interdizione automatica per inadempimento dell’obbligo di consegnare alla stazione appaltante, entro sei mesi dalla conclusione del contratto, la relazione di genere di cui all’articolo 47, comma 3, del decreto legge n. 77/2022;</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 xml:space="preserve">Per gli operatori economici che occupano oltre cinquanta dipendenti: di produrre copia dell’ultimo rapporto periodico sulla situazione del personale maschile e femminile redatto ai sensi dell’articolo 46 del </w:t>
      </w:r>
      <w:hyperlink r:id="rId26" w:history="1">
        <w:r w:rsidR="00914394">
          <w:rPr>
            <w:rStyle w:val="Hyperlink7"/>
            <w:rFonts w:ascii="Arial" w:hAnsi="Arial"/>
            <w:sz w:val="22"/>
            <w:szCs w:val="22"/>
          </w:rPr>
          <w:t>decreto legislativo n. 198/2006</w:t>
        </w:r>
      </w:hyperlink>
      <w:r>
        <w:rPr>
          <w:rStyle w:val="Hyperlink5"/>
          <w:rFonts w:ascii="Arial" w:hAnsi="Arial"/>
          <w:sz w:val="22"/>
          <w:szCs w:val="22"/>
        </w:rPr>
        <w:t>,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 xml:space="preserve">Per gli operatori economici che occupano un numero pari o superiore a quindici dipendenti e non superiore a cinquanta, non tenuti alla redazione del rapporto sulla situazione del personale, ai sensi dell’articolo 46 del </w:t>
      </w:r>
      <w:r>
        <w:rPr>
          <w:rStyle w:val="Nessuno"/>
          <w:rFonts w:ascii="Arial" w:hAnsi="Arial"/>
          <w:sz w:val="22"/>
          <w:szCs w:val="22"/>
          <w:u w:val="single"/>
        </w:rPr>
        <w:t>decreto legislativo 11 aprile 2006, n. 198</w:t>
      </w:r>
      <w:r>
        <w:rPr>
          <w:rStyle w:val="Hyperlink5"/>
          <w:rFonts w:ascii="Arial" w:hAnsi="Arial"/>
          <w:sz w:val="22"/>
          <w:szCs w:val="22"/>
        </w:rPr>
        <w:t>: entro sei mesi dalla conclusione del contratto, di impegnarsi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Per gli operatori economici che occupano un numero pari o superiore a quindici dipendenti sono tenuti, entro sei mesi dalla conclusione del contratto, di impegnarsi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per gli operatori economici non residenti e privi di stabile organizzazione in Italia, il domicilio fiscale …, il codice fiscale …, la partita IVA …, l’indirizzo di posta elettronica certificata o strumento analogo negli altri Stati Membri, ai fini delle comunicazioni di cui all’articolo 90 del Codice;</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di aver preso visione e di accettare, senza riserve e condizioni, tutti i documenti della presente procedura negoziata;</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di aver preso visione e di accettare il trattamento dei dati personali di cui al punto 29 del Disciplinare.</w:t>
      </w:r>
    </w:p>
    <w:p w:rsidR="00914394" w:rsidRDefault="00914394">
      <w:pPr>
        <w:pStyle w:val="Textbody"/>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b/>
          <w:bCs/>
          <w:sz w:val="22"/>
          <w:szCs w:val="22"/>
        </w:rPr>
      </w:pPr>
      <w:r>
        <w:rPr>
          <w:rStyle w:val="Nessuno"/>
          <w:rFonts w:ascii="Arial" w:hAnsi="Arial"/>
          <w:b/>
          <w:bCs/>
          <w:sz w:val="22"/>
          <w:szCs w:val="22"/>
        </w:rPr>
        <w:lastRenderedPageBreak/>
        <w:t xml:space="preserve">15.4 - DICHIARAZIONE INERENTE </w:t>
      </w:r>
      <w:proofErr w:type="gramStart"/>
      <w:r>
        <w:rPr>
          <w:rStyle w:val="Nessuno"/>
          <w:rFonts w:ascii="Arial" w:hAnsi="Arial"/>
          <w:b/>
          <w:bCs/>
          <w:sz w:val="22"/>
          <w:szCs w:val="22"/>
        </w:rPr>
        <w:t>IL</w:t>
      </w:r>
      <w:proofErr w:type="gramEnd"/>
      <w:r>
        <w:rPr>
          <w:rStyle w:val="Nessuno"/>
          <w:rFonts w:ascii="Arial" w:hAnsi="Arial"/>
          <w:b/>
          <w:bCs/>
          <w:sz w:val="22"/>
          <w:szCs w:val="22"/>
        </w:rPr>
        <w:t xml:space="preserve"> TITOLARE EFFETTIVO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Con la dichiarazione inerente </w:t>
      </w:r>
      <w:proofErr w:type="gramStart"/>
      <w:r>
        <w:rPr>
          <w:rStyle w:val="Nessuno"/>
          <w:rFonts w:ascii="Arial" w:hAnsi="Arial"/>
          <w:sz w:val="22"/>
          <w:szCs w:val="22"/>
        </w:rPr>
        <w:t>il</w:t>
      </w:r>
      <w:proofErr w:type="gramEnd"/>
      <w:r>
        <w:rPr>
          <w:rStyle w:val="Nessuno"/>
          <w:rFonts w:ascii="Arial" w:hAnsi="Arial"/>
          <w:sz w:val="22"/>
          <w:szCs w:val="22"/>
        </w:rPr>
        <w:t xml:space="preserve"> titolare effettivo, sottoscritta dal legale rappresentante dell’impresa o da altro soggetto secondo le modalità indicate nel paragrafo 15.1, il concorrente dichiara che il/i titolare/i effettivo/i dell’impresa, partecipante alla presente procedura negoziata, di cui al D.lgs. n. 231/2007 e </w:t>
      </w:r>
      <w:proofErr w:type="spellStart"/>
      <w:r>
        <w:rPr>
          <w:rStyle w:val="Nessuno"/>
          <w:rFonts w:ascii="Arial" w:hAnsi="Arial"/>
          <w:sz w:val="22"/>
          <w:szCs w:val="22"/>
        </w:rPr>
        <w:t>s.m.i.</w:t>
      </w:r>
      <w:proofErr w:type="spellEnd"/>
      <w:r>
        <w:rPr>
          <w:rStyle w:val="Nessuno"/>
          <w:rFonts w:ascii="Arial" w:hAnsi="Arial"/>
          <w:sz w:val="22"/>
          <w:szCs w:val="22"/>
        </w:rPr>
        <w:t>, è/sono:</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dell’assetto proprietario: Art. 20, comma 2,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(sulla base del presente criterio si individua il titolare/i effettivo/i quando una o </w:t>
      </w:r>
      <w:proofErr w:type="spellStart"/>
      <w:r>
        <w:rPr>
          <w:rStyle w:val="Nessuno"/>
          <w:rFonts w:ascii="Arial" w:hAnsi="Arial"/>
          <w:sz w:val="22"/>
          <w:szCs w:val="22"/>
        </w:rPr>
        <w:t>piu</w:t>
      </w:r>
      <w:proofErr w:type="spellEnd"/>
      <w:r>
        <w:rPr>
          <w:rStyle w:val="Nessuno"/>
          <w:rFonts w:ascii="Arial" w:hAnsi="Arial"/>
          <w:sz w:val="22"/>
          <w:szCs w:val="22"/>
        </w:rPr>
        <w:t xml:space="preserve">̀ persone detengono una partecipazione del capitale societario superiore al 25%. Se questa percentuale di partecipazione societaria è controllata da un’altra </w:t>
      </w:r>
      <w:proofErr w:type="spellStart"/>
      <w:r>
        <w:rPr>
          <w:rStyle w:val="Nessuno"/>
          <w:rFonts w:ascii="Arial" w:hAnsi="Arial"/>
          <w:sz w:val="22"/>
          <w:szCs w:val="22"/>
        </w:rPr>
        <w:t>entita</w:t>
      </w:r>
      <w:proofErr w:type="spellEnd"/>
      <w:r>
        <w:rPr>
          <w:rStyle w:val="Nessuno"/>
          <w:rFonts w:ascii="Arial" w:hAnsi="Arial"/>
          <w:sz w:val="22"/>
          <w:szCs w:val="22"/>
        </w:rPr>
        <w:t>̀ giuridica non fisica, è necessario risalire la catena proprietaria fino a trovare il titolare effettivo)</w:t>
      </w:r>
    </w:p>
    <w:p w:rsidR="00914394" w:rsidRDefault="00000000">
      <w:pPr>
        <w:pStyle w:val="Textbody"/>
        <w:ind w:left="360"/>
        <w:rPr>
          <w:rStyle w:val="Nessuno"/>
          <w:sz w:val="22"/>
          <w:szCs w:val="22"/>
        </w:rPr>
      </w:pPr>
      <w:r>
        <w:rPr>
          <w:rStyle w:val="Nessuno"/>
          <w:rFonts w:ascii="Arial" w:hAnsi="Arial"/>
          <w:b/>
          <w:bCs/>
          <w:sz w:val="22"/>
          <w:szCs w:val="22"/>
        </w:rPr>
        <w:t>OPPURE</w:t>
      </w:r>
      <w:r>
        <w:rPr>
          <w:rStyle w:val="Nessuno"/>
          <w:rFonts w:ascii="Arial" w:eastAsia="Arial" w:hAnsi="Arial" w:cs="Arial"/>
          <w:sz w:val="22"/>
          <w:szCs w:val="22"/>
        </w:rPr>
        <w:br/>
      </w:r>
      <w:r>
        <w:rPr>
          <w:rStyle w:val="Nessuno"/>
          <w:rFonts w:ascii="Arial" w:hAnsi="Arial"/>
          <w:sz w:val="22"/>
          <w:szCs w:val="22"/>
        </w:rPr>
        <w:t>(in subordine rispetto al criterio 1)</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del controllo: Art. 20, comma 3,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Da utilizzare solo nell’impossibilità di applicare il criterio 1) (sulla base di questo criterio, si provvede a verificare chi è la persona, o il gruppo di persone, che tramite il possesso della maggioranza dei voti o vincoli contrattuali, esercita maggiore influenza all’interno del panorama degli shareholders) </w:t>
      </w:r>
      <w:r>
        <w:rPr>
          <w:rStyle w:val="Nessuno"/>
          <w:rFonts w:ascii="Arial" w:hAnsi="Arial"/>
          <w:b/>
          <w:bCs/>
          <w:sz w:val="22"/>
          <w:szCs w:val="22"/>
        </w:rPr>
        <w:t>OPPURE</w:t>
      </w:r>
      <w:r>
        <w:rPr>
          <w:rStyle w:val="Nessuno"/>
          <w:rFonts w:ascii="Arial" w:eastAsia="Arial" w:hAnsi="Arial" w:cs="Arial"/>
          <w:sz w:val="22"/>
          <w:szCs w:val="22"/>
        </w:rPr>
        <w:br/>
      </w:r>
      <w:r>
        <w:rPr>
          <w:rStyle w:val="Nessuno"/>
          <w:rFonts w:ascii="Arial" w:hAnsi="Arial"/>
          <w:sz w:val="22"/>
          <w:szCs w:val="22"/>
        </w:rPr>
        <w:t xml:space="preserve">(in subordine rispetto al criterio 2) </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residuale: aa utilizzare solo nell’impossibilità di applicare il criterio 1) e 2) Art. 20, comma 5,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(questo criterio stabilisce che, se non sono stati individuati i titolari effettivi con i precedenti due criteri, o nel caso in cui si tratti impresa quotata/ impresa ad azionariato diffuso, il titolare effettivo vada individuato in colui che esercita poteri di amministrazione o direzione della </w:t>
      </w:r>
      <w:proofErr w:type="spellStart"/>
      <w:r>
        <w:rPr>
          <w:rStyle w:val="Nessuno"/>
          <w:rFonts w:ascii="Arial" w:hAnsi="Arial"/>
          <w:sz w:val="22"/>
          <w:szCs w:val="22"/>
        </w:rPr>
        <w:t>societa</w:t>
      </w:r>
      <w:proofErr w:type="spellEnd"/>
      <w:r>
        <w:rPr>
          <w:rStyle w:val="Nessuno"/>
          <w:rFonts w:ascii="Arial" w:hAnsi="Arial"/>
          <w:sz w:val="22"/>
          <w:szCs w:val="22"/>
        </w:rPr>
        <w:t xml:space="preserve">̀.) </w:t>
      </w:r>
    </w:p>
    <w:p w:rsidR="00914394" w:rsidRDefault="00914394">
      <w:pPr>
        <w:pStyle w:val="Standard"/>
        <w:keepNext/>
        <w:jc w:val="both"/>
        <w:rPr>
          <w:rStyle w:val="Nessuno"/>
          <w:rFonts w:ascii="Arial" w:eastAsia="Arial" w:hAnsi="Arial" w:cs="Arial"/>
          <w:b/>
          <w:bCs/>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15.5 - DICHIARAZIONI DA RENDERE A CURA DEGLI OPERATORI ECONOMICI AMMESSI AL CONCORDATO PREVENTIVO CON CONTINUITÀ AZIENDALE DI CUI ALL’ARTICOLO 372 DEL </w:t>
      </w:r>
      <w:r>
        <w:rPr>
          <w:rStyle w:val="Nessuno"/>
          <w:rFonts w:ascii="Arial" w:hAnsi="Arial"/>
          <w:b/>
          <w:bCs/>
          <w:sz w:val="22"/>
          <w:szCs w:val="22"/>
          <w:u w:val="single"/>
        </w:rPr>
        <w:t>DECRETO LEGISLATIVO 12 GENNAIO 2019, N. 14</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concorrente dichiara ai sensi degli articoli 46 e 47 del decreto del </w:t>
      </w:r>
      <w:r>
        <w:rPr>
          <w:rStyle w:val="Nessuno"/>
          <w:rFonts w:ascii="Arial" w:hAnsi="Arial"/>
          <w:sz w:val="22"/>
          <w:szCs w:val="22"/>
          <w:u w:val="single"/>
        </w:rPr>
        <w:t>Presidente della Repubblica n. 445/2000</w:t>
      </w:r>
      <w:r>
        <w:rPr>
          <w:rStyle w:val="Nessuno"/>
          <w:rFonts w:ascii="Arial" w:hAnsi="Arial"/>
          <w:sz w:val="22"/>
          <w:szCs w:val="22"/>
        </w:rPr>
        <w:t xml:space="preserve"> gli estremi del provvedimento di ammissione al concordato e del provvedimento di autorizzazione a partecipare alle gare, nonché dichiara che le altre imprese aderenti al raggruppamento non sono assoggettate ad una procedura concorsuale, ai sensi dell’articolo 95, commi 4 e 5, del </w:t>
      </w:r>
      <w:r>
        <w:rPr>
          <w:rStyle w:val="Nessuno"/>
          <w:rFonts w:ascii="Arial" w:hAnsi="Arial"/>
          <w:sz w:val="22"/>
          <w:szCs w:val="22"/>
          <w:u w:val="single"/>
        </w:rPr>
        <w:t>decreto legislativo n. 14/2019</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concorrente presenta una relazione di un professionista in possesso dei requisiti di cui all’</w:t>
      </w:r>
      <w:hyperlink r:id="rId27" w:history="1">
        <w:r w:rsidR="00914394">
          <w:rPr>
            <w:rStyle w:val="Hyperlink0"/>
          </w:rPr>
          <w:t>articolo 2, comma 1 - lettera o)</w:t>
        </w:r>
      </w:hyperlink>
      <w:r>
        <w:rPr>
          <w:rStyle w:val="Hyperlink0"/>
        </w:rPr>
        <w:t xml:space="preserve">del decreto legislativo succitato </w:t>
      </w:r>
      <w:r>
        <w:rPr>
          <w:rStyle w:val="Nessuno"/>
          <w:rFonts w:ascii="Arial" w:hAnsi="Arial"/>
          <w:sz w:val="22"/>
          <w:szCs w:val="22"/>
        </w:rPr>
        <w:t>che attesta la conformità al piano e la ragionevole capacità di adempimento del contratto.</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15.6 </w:t>
      </w:r>
      <w:bookmarkStart w:id="2" w:name="DOCUMENTAZIONE_IN_CASO_DI_AVVALIME"/>
      <w:bookmarkEnd w:id="2"/>
      <w:r>
        <w:rPr>
          <w:rStyle w:val="Nessuno"/>
          <w:rFonts w:ascii="Arial" w:hAnsi="Arial"/>
          <w:b/>
          <w:bCs/>
          <w:sz w:val="22"/>
          <w:szCs w:val="22"/>
        </w:rPr>
        <w:t>- DOCUMENTAZIONE IN CASO DI AVVALIMENTO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L’impresa ausiliaria rende le dichiarazioni sul possesso dei requisiti di ordine generale mediante compilazione dell’apposita sezione del DGUE.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concorrente, per ciascuna ausiliaria, allega: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1) il DGUE a firma dell’ausiliaria;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2) il Modello dichiarazione integrativa di avvalimento;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3) il contratto di avvalimento;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Nel caso di avvalimento finalizzato al miglioramento dell’offerta, il contratto di avvalimento deve essere presentato nell’offerta tecnica.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Nel caso di avvalimento finalizzato sia alla dimostrazione dei requisiti di partecipazione che al miglioramento dell’offerta, le parti dovranno stipulare due distinti contratti di avvalimento, uno per il prestito dei requisiti di partecipazione e l’altro per il prestito dei requisiti premiali. Tale ultimo contratto è presentato nell’offerta tecnica. </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15.7 - DOCUMENTAZIONE </w:t>
      </w:r>
      <w:bookmarkStart w:id="3" w:name="DOCUMENTAZIONE_ULTERIORE_PER_I_SOG"/>
      <w:bookmarkEnd w:id="3"/>
      <w:r>
        <w:rPr>
          <w:rStyle w:val="Nessuno"/>
          <w:rFonts w:ascii="Arial" w:hAnsi="Arial"/>
          <w:b/>
          <w:bCs/>
          <w:sz w:val="22"/>
          <w:szCs w:val="22"/>
        </w:rPr>
        <w:t>ULTERIORE PER I SOGGETTI ASSOCIATI</w:t>
      </w:r>
    </w:p>
    <w:p w:rsidR="00914394" w:rsidRDefault="00000000">
      <w:pPr>
        <w:pStyle w:val="Titolo3"/>
        <w:keepNext w:val="0"/>
        <w:widowControl w:val="0"/>
        <w:tabs>
          <w:tab w:val="left" w:pos="713"/>
          <w:tab w:val="left" w:pos="9132"/>
        </w:tabs>
        <w:spacing w:before="0" w:after="0"/>
        <w:ind w:left="57"/>
        <w:rPr>
          <w:rStyle w:val="Nessuno"/>
          <w:rFonts w:ascii="Arial" w:eastAsia="Arial" w:hAnsi="Arial" w:cs="Arial"/>
          <w:sz w:val="22"/>
          <w:szCs w:val="22"/>
        </w:rPr>
      </w:pPr>
      <w:r>
        <w:rPr>
          <w:rStyle w:val="Nessuno"/>
          <w:rFonts w:ascii="Arial" w:hAnsi="Arial"/>
          <w:sz w:val="22"/>
          <w:szCs w:val="22"/>
        </w:rPr>
        <w:t>Per i raggruppamenti temporanei già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mandato collettivo irrevocabile con rappresentanza conferito alla mandataria per atto pubblico o scrittura privata autenticata;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delle parti del servizio/fornitura, ovvero della percentuale in caso di servizio/forniture indivisibili, che saranno eseguite dai singoli operatori economici riuniti o consorziati.</w:t>
      </w: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i consorzi ordinari o GEIE già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 xml:space="preserve">copia dell’atto costitutivo e dello statuto del consorzio o GEIE, con indicazione del soggetto </w:t>
      </w:r>
      <w:r>
        <w:rPr>
          <w:rStyle w:val="Hyperlink5"/>
          <w:rFonts w:ascii="Arial" w:hAnsi="Arial"/>
          <w:sz w:val="22"/>
          <w:szCs w:val="22"/>
        </w:rPr>
        <w:lastRenderedPageBreak/>
        <w:t>designato quale capofila;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sottoscritta delle parti del servizio/fornitura, ovvero la percentuale in caso di servizi/forniture indivisibili, che saranno eseguite dai singoli operatori economici consorziati.</w:t>
      </w: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i raggruppamenti temporanei o consorzi ordinari o GEIE non ancora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rese da ciascun concorrente, attestante:</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a quale operatore economico, in caso di aggiudicazione, sarà conferito mandato speciale con rappresentanza o funzioni di capogruppo;</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le parti del contratto, ovvero la percentuale in caso di lavori indivisibili, che saranno eseguite dai singoli operatori economici riuniti o consorziati.</w:t>
      </w:r>
    </w:p>
    <w:p w:rsidR="00914394" w:rsidRDefault="00914394">
      <w:pPr>
        <w:pStyle w:val="Paragrafoelenco"/>
        <w:widowControl w:val="0"/>
        <w:tabs>
          <w:tab w:val="left" w:pos="9132"/>
        </w:tabs>
        <w:ind w:left="0"/>
        <w:jc w:val="both"/>
        <w:rPr>
          <w:rStyle w:val="Nessuno"/>
          <w:rFonts w:ascii="Arial" w:eastAsia="Arial" w:hAnsi="Arial" w:cs="Arial"/>
          <w:b/>
          <w:bCs/>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retisti: se la rete è dotata di un organo comune con potere di rappresentanza e soggettività giuridica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contratto di rete, con indicazione dell’organo comune che agisce in rappresentanza della rete.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che indichi per quali imprese la rete concorre;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sottoscritta con firma digitale delle parti del servizio o della fornitura, ovvero la percentuale in caso di servizio/forniture indivisibili, che saranno eseguite dai singoli operatori economici aggregati in rete.</w:t>
      </w:r>
    </w:p>
    <w:p w:rsidR="00914394" w:rsidRDefault="00914394">
      <w:pPr>
        <w:pStyle w:val="Paragrafoelenco"/>
        <w:widowControl w:val="0"/>
        <w:tabs>
          <w:tab w:val="left" w:pos="9132"/>
        </w:tabs>
        <w:ind w:left="0"/>
        <w:jc w:val="both"/>
        <w:rPr>
          <w:rStyle w:val="Nessuno"/>
          <w:rFonts w:ascii="Arial" w:eastAsia="Arial" w:hAnsi="Arial" w:cs="Arial"/>
          <w:b/>
          <w:bCs/>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retisti: se la rete è dotata di un organo comune con potere di rappresentanza ma è priva di soggettività giuridica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mandato collettivo irrevocabile con rappresentanza conferito all’organo comune;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delle parti del servizio o della fornitura, ovvero la percentuale in caso di servizio/forniture indivisibili, che saranno eseguite dai singoli operatori economici aggregati in rete.</w:t>
      </w:r>
    </w:p>
    <w:p w:rsidR="00914394" w:rsidRDefault="00914394">
      <w:pPr>
        <w:pStyle w:val="Paragrafoelenco"/>
        <w:widowControl w:val="0"/>
        <w:tabs>
          <w:tab w:val="left" w:pos="9132"/>
        </w:tabs>
        <w:ind w:left="0"/>
        <w:jc w:val="both"/>
        <w:rPr>
          <w:rStyle w:val="Nessuno"/>
          <w:rFonts w:ascii="Arial" w:eastAsia="Arial" w:hAnsi="Arial" w:cs="Arial"/>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914394" w:rsidRDefault="00000000">
      <w:pPr>
        <w:pStyle w:val="Paragrafoelenco"/>
        <w:widowControl w:val="0"/>
        <w:numPr>
          <w:ilvl w:val="0"/>
          <w:numId w:val="85"/>
        </w:numPr>
        <w:jc w:val="both"/>
        <w:rPr>
          <w:rFonts w:ascii="Arial" w:hAnsi="Arial"/>
          <w:sz w:val="22"/>
          <w:szCs w:val="22"/>
        </w:rPr>
      </w:pPr>
      <w:r>
        <w:rPr>
          <w:rStyle w:val="Nessuno"/>
          <w:rFonts w:ascii="Arial" w:hAnsi="Arial"/>
          <w:b/>
          <w:bCs/>
          <w:sz w:val="22"/>
          <w:szCs w:val="22"/>
        </w:rPr>
        <w:t>in caso di raggruppamento temporaneo di imprese costituito</w:t>
      </w:r>
      <w:r>
        <w:rPr>
          <w:rStyle w:val="Hyperlink5"/>
          <w:rFonts w:ascii="Arial" w:hAnsi="Arial"/>
          <w:sz w:val="22"/>
          <w:szCs w:val="22"/>
        </w:rPr>
        <w:t>:</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mandato collettivo irrevocabile con rappresentanza conferito alla mandataria</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dichiarazione delle parti del servizio o della fornitura, ovvero la percentuale in caso di servizio/forniture indivisibili, che saranno eseguite dai singoli operatori economici aggregati in rete.</w:t>
      </w:r>
    </w:p>
    <w:p w:rsidR="00914394" w:rsidRDefault="00000000">
      <w:pPr>
        <w:pStyle w:val="Paragrafoelenco"/>
        <w:widowControl w:val="0"/>
        <w:numPr>
          <w:ilvl w:val="0"/>
          <w:numId w:val="87"/>
        </w:numPr>
        <w:jc w:val="both"/>
        <w:rPr>
          <w:rFonts w:ascii="Arial" w:hAnsi="Arial"/>
          <w:sz w:val="22"/>
          <w:szCs w:val="22"/>
        </w:rPr>
      </w:pPr>
      <w:r>
        <w:rPr>
          <w:rStyle w:val="Nessuno"/>
          <w:rFonts w:ascii="Arial" w:hAnsi="Arial"/>
          <w:b/>
          <w:bCs/>
          <w:sz w:val="22"/>
          <w:szCs w:val="22"/>
        </w:rPr>
        <w:t>in caso di raggruppamento temporaneo di imprese costituendo</w:t>
      </w:r>
      <w:r>
        <w:rPr>
          <w:rStyle w:val="Hyperlink5"/>
          <w:rFonts w:ascii="Arial" w:hAnsi="Arial"/>
          <w:sz w:val="22"/>
          <w:szCs w:val="22"/>
        </w:rPr>
        <w:t>:</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dichiarazioni, rese da ciascun concorrente aderente all’aggregazione di rete, attestanti:</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a quale concorrente, in caso di aggiudicazione, sarà conferito mandato speciale con rappresentanza o funzioni di capogruppo;</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l’impegno, in caso di aggiudicazione, ad uniformarsi alla disciplina vigente in materia di raggruppamenti temporanei;</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le parti del servizio o della fornitura, ovvero la percentuale in caso di servizio/forniture indivisibili, che saranno eseguite dai singoli operatori economici aggregati in rete.</w:t>
      </w:r>
    </w:p>
    <w:p w:rsidR="00914394" w:rsidRDefault="00914394">
      <w:pPr>
        <w:jc w:val="both"/>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b/>
          <w:bCs/>
          <w:sz w:val="22"/>
          <w:szCs w:val="22"/>
        </w:rPr>
      </w:pPr>
      <w:r>
        <w:rPr>
          <w:rStyle w:val="Nessuno"/>
          <w:rFonts w:ascii="Arial" w:hAnsi="Arial"/>
          <w:b/>
          <w:bCs/>
          <w:sz w:val="22"/>
          <w:szCs w:val="22"/>
        </w:rPr>
        <w:t>15.8 - DISPOSIZIONI GENERALI IN ORDINE ALL’UTILIZZO DEI MODELLI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L’utilizzazione dei suddetti modelli predisposti dalla Stazione Appaltante e allegati al presente Disciplinare è facoltativa: essi possono essere completati con i dati richiesti o, eventualmente, trascritti su carta intestata del concorrente.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in cui il concorrente intenda utilizzare i suddetti modelli per fornire i dati e/o rendere le dichiarazioni necessari per partecipare alla presente gara, come richiesti dal presente disciplinare di gara egli resta l’unico responsabile dell’esatta compilazione dei modelli stessi nonché della rispondenza del contenuto dei modelli compilati alle richieste di cui al presente disciplinare.</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lastRenderedPageBreak/>
        <w:t>Al riguardo si precisa che in sede di gara verranno interpretati come: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1)</w:t>
      </w:r>
      <w:r>
        <w:rPr>
          <w:rStyle w:val="Nessuno"/>
          <w:rFonts w:ascii="Arial" w:hAnsi="Arial"/>
          <w:sz w:val="22"/>
          <w:szCs w:val="22"/>
        </w:rPr>
        <w:tab/>
        <w:t>non prodotti né trasmessi dal concorrente e, quindi, non acquisiti dalla Stazione Appaltante i dati e/o le informazioni e/o i documenti corrispondenti a campi dei suddetti modelli che non siano stati esattamente completati con i dati richiesti sia nel modello stesso che nel presente disciplinare;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2)</w:t>
      </w:r>
      <w:r>
        <w:rPr>
          <w:rStyle w:val="Nessuno"/>
          <w:rFonts w:ascii="Arial" w:hAnsi="Arial"/>
          <w:sz w:val="22"/>
          <w:szCs w:val="22"/>
        </w:rPr>
        <w:tab/>
        <w:t>non prodotti né trasmessi dal concorrente e, quindi, non acquisiti dalla Stazione Appaltante i documenti e/o i dati e/o le dichiarazioni per i quali, se richiesto, non sia stata barrata con una croce o, comunque, con un segno evidente ed inequivocabile la relativa e corrispondente casella inserita nel modello.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L’errata e/o incompleta compilazione del </w:t>
      </w:r>
      <w:r>
        <w:rPr>
          <w:rStyle w:val="Nessuno"/>
          <w:rFonts w:ascii="Arial" w:hAnsi="Arial"/>
          <w:b/>
          <w:bCs/>
          <w:sz w:val="22"/>
          <w:szCs w:val="22"/>
        </w:rPr>
        <w:t>DGUE</w:t>
      </w:r>
      <w:r>
        <w:rPr>
          <w:rStyle w:val="Nessuno"/>
          <w:rFonts w:ascii="Arial" w:hAnsi="Arial"/>
          <w:sz w:val="22"/>
          <w:szCs w:val="22"/>
        </w:rPr>
        <w:t xml:space="preserve"> e/o degli altri modelli allegati al presente disciplinare e/o la produzione di dichiarazioni e/o modelli il cui contenuto non sia esattamente rispondente alle richieste di cui al presente disciplinare comporta l’esclusione dalla gara del concorrente, trovando applicazione, comunque, le disposizioni dell’art. 101 del Codice in merito alla sanatoria delle irregolarità.</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mancato adempimento alle disposizioni della presente sezione del disciplinare di gara costituisce irregolarità essenziale ai fini dell’applicazione delle disposizioni dell’art. 101 del Codice, fatto salvo che il fatto non determini motivo di esclusione automatica del concorrente in quanto comportante violazione dei principi dell’inalterabilità del contenuto dell’offerta, dell’assoluta certezza in ordine alla provenienza ed al contenuto della stessa, di segretezza che presiede alla presentazione della medesima, di inalterabilità delle condizioni in cui versano i concorrenti al momento della scadenza del termine per la partecipazione alla gara.</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16. OFFERTA TECNICA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inserisce</w:t>
      </w:r>
      <w:r>
        <w:rPr>
          <w:rStyle w:val="Nessuno"/>
          <w:rFonts w:ascii="Arial" w:hAnsi="Arial"/>
          <w:b/>
          <w:bCs/>
          <w:sz w:val="22"/>
          <w:szCs w:val="22"/>
        </w:rPr>
        <w:t xml:space="preserve"> </w:t>
      </w:r>
      <w:r>
        <w:rPr>
          <w:rStyle w:val="Nessuno"/>
          <w:rFonts w:ascii="Arial" w:hAnsi="Arial"/>
          <w:sz w:val="22"/>
          <w:szCs w:val="22"/>
        </w:rPr>
        <w:t xml:space="preserve">nella Piattaforma la documentazione relativa all’offerta tecnica nella Busta Tecnica, secondo le seguenti </w:t>
      </w:r>
      <w:proofErr w:type="spellStart"/>
      <w:r>
        <w:rPr>
          <w:rStyle w:val="Nessuno"/>
          <w:rFonts w:ascii="Arial" w:hAnsi="Arial"/>
          <w:sz w:val="22"/>
          <w:szCs w:val="22"/>
        </w:rPr>
        <w:t>modalita</w:t>
      </w:r>
      <w:proofErr w:type="spellEnd"/>
      <w:r>
        <w:rPr>
          <w:rStyle w:val="Nessuno"/>
          <w:rFonts w:ascii="Arial" w:hAnsi="Arial"/>
          <w:sz w:val="22"/>
          <w:szCs w:val="22"/>
        </w:rPr>
        <w:t>̀ di seguito descritte</w:t>
      </w:r>
      <w:r>
        <w:rPr>
          <w:rStyle w:val="Nessuno"/>
          <w:rFonts w:ascii="Arial" w:hAnsi="Arial"/>
          <w:i/>
          <w:iCs/>
          <w:sz w:val="22"/>
          <w:szCs w:val="22"/>
        </w:rPr>
        <w:t xml:space="preserve">, </w:t>
      </w:r>
      <w:r>
        <w:rPr>
          <w:rStyle w:val="Nessuno"/>
          <w:rFonts w:ascii="Arial" w:hAnsi="Arial"/>
          <w:sz w:val="22"/>
          <w:szCs w:val="22"/>
        </w:rPr>
        <w:t xml:space="preserve">a pena di </w:t>
      </w:r>
      <w:proofErr w:type="spellStart"/>
      <w:r>
        <w:rPr>
          <w:rStyle w:val="Nessuno"/>
          <w:rFonts w:ascii="Arial" w:hAnsi="Arial"/>
          <w:sz w:val="22"/>
          <w:szCs w:val="22"/>
        </w:rPr>
        <w:t>inammissibilita</w:t>
      </w:r>
      <w:proofErr w:type="spellEnd"/>
      <w:r>
        <w:rPr>
          <w:rStyle w:val="Nessuno"/>
          <w:rFonts w:ascii="Arial" w:hAnsi="Arial"/>
          <w:sz w:val="22"/>
          <w:szCs w:val="22"/>
        </w:rPr>
        <w:t>̀ dell’offerta</w:t>
      </w:r>
      <w:r>
        <w:rPr>
          <w:rStyle w:val="Nessuno"/>
          <w:rFonts w:ascii="Arial" w:hAnsi="Arial"/>
          <w:i/>
          <w:iCs/>
          <w:sz w:val="22"/>
          <w:szCs w:val="22"/>
        </w:rPr>
        <w:t xml:space="preserv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è firmata secondo le </w:t>
      </w:r>
      <w:proofErr w:type="spellStart"/>
      <w:r>
        <w:rPr>
          <w:rStyle w:val="Nessuno"/>
          <w:rFonts w:ascii="Arial" w:hAnsi="Arial"/>
          <w:sz w:val="22"/>
          <w:szCs w:val="22"/>
        </w:rPr>
        <w:t>modalita</w:t>
      </w:r>
      <w:proofErr w:type="spellEnd"/>
      <w:r>
        <w:rPr>
          <w:rStyle w:val="Nessuno"/>
          <w:rFonts w:ascii="Arial" w:hAnsi="Arial"/>
          <w:sz w:val="22"/>
          <w:szCs w:val="22"/>
        </w:rPr>
        <w:t xml:space="preserve">̀ previste al precedente </w:t>
      </w:r>
      <w:r>
        <w:rPr>
          <w:rStyle w:val="Nessuno"/>
          <w:rFonts w:ascii="Arial" w:hAnsi="Arial"/>
          <w:b/>
          <w:bCs/>
          <w:sz w:val="22"/>
          <w:szCs w:val="22"/>
        </w:rPr>
        <w:t xml:space="preserve">punto 15.1. </w:t>
      </w:r>
      <w:r>
        <w:rPr>
          <w:rStyle w:val="Nessuno"/>
          <w:rFonts w:ascii="Arial" w:hAnsi="Arial"/>
          <w:sz w:val="22"/>
          <w:szCs w:val="22"/>
        </w:rPr>
        <w:t xml:space="preserve">e deve contenere, </w:t>
      </w:r>
      <w:r>
        <w:rPr>
          <w:rStyle w:val="Nessuno"/>
          <w:rFonts w:ascii="Arial" w:hAnsi="Arial"/>
          <w:b/>
          <w:bCs/>
          <w:sz w:val="22"/>
          <w:szCs w:val="22"/>
        </w:rPr>
        <w:t>a pena di esclusione</w:t>
      </w:r>
      <w:r>
        <w:rPr>
          <w:rStyle w:val="Nessuno"/>
          <w:rFonts w:ascii="Arial" w:hAnsi="Arial"/>
          <w:sz w:val="22"/>
          <w:szCs w:val="22"/>
        </w:rPr>
        <w:t>, i seguenti documenti: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a) la proposta progettuale dei servizi offerti; tale proposta </w:t>
      </w:r>
      <w:proofErr w:type="spellStart"/>
      <w:r>
        <w:rPr>
          <w:rStyle w:val="Nessuno"/>
          <w:rFonts w:ascii="Arial" w:hAnsi="Arial"/>
          <w:sz w:val="22"/>
          <w:szCs w:val="22"/>
        </w:rPr>
        <w:t>dovra</w:t>
      </w:r>
      <w:proofErr w:type="spellEnd"/>
      <w:r>
        <w:rPr>
          <w:rStyle w:val="Nessuno"/>
          <w:rFonts w:ascii="Arial" w:hAnsi="Arial"/>
          <w:sz w:val="22"/>
          <w:szCs w:val="22"/>
        </w:rPr>
        <w:t xml:space="preserve">̀ essere redatta al </w:t>
      </w:r>
      <w:r>
        <w:rPr>
          <w:rStyle w:val="Nessuno"/>
          <w:rFonts w:ascii="Arial" w:hAnsi="Arial"/>
          <w:b/>
          <w:bCs/>
          <w:sz w:val="22"/>
          <w:szCs w:val="22"/>
        </w:rPr>
        <w:t xml:space="preserve">massimo in 20 pagine complessive </w:t>
      </w:r>
      <w:r>
        <w:rPr>
          <w:rStyle w:val="Nessuno"/>
          <w:rFonts w:ascii="Arial" w:hAnsi="Arial"/>
          <w:sz w:val="22"/>
          <w:szCs w:val="22"/>
        </w:rPr>
        <w:t xml:space="preserve">formato </w:t>
      </w:r>
      <w:proofErr w:type="spellStart"/>
      <w:r>
        <w:rPr>
          <w:rStyle w:val="Nessuno"/>
          <w:rFonts w:ascii="Arial" w:hAnsi="Arial"/>
          <w:sz w:val="22"/>
          <w:szCs w:val="22"/>
        </w:rPr>
        <w:t>arial</w:t>
      </w:r>
      <w:proofErr w:type="spellEnd"/>
      <w:r>
        <w:rPr>
          <w:rStyle w:val="Nessuno"/>
          <w:rFonts w:ascii="Arial" w:hAnsi="Arial"/>
          <w:sz w:val="22"/>
          <w:szCs w:val="22"/>
        </w:rPr>
        <w:t xml:space="preserve"> 10 (si precisa che nel caso in cui il numero di pagine della proposta progettuale sia superiore a quello stabilito, le pagine eccedenti ed eventuali allegati non verranno presi in considerazione dalla Commissione giudicatrice ai fini della valutazione dell’offerta; nel numero delle pagine stabilito non verranno in ogni caso computati l’indice (non richiesto) e l’eventuale frontespizio (non necessario);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b) ove pertinente, documentazione e allegati ulteriori in relazione a elementi necessari ai fini all’attribuzione del punteggio tecnico;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 in caso di avvalimento premiale, contratto di avvalimento.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proposta progettuale è suddivisa in capitoli in relazione a ciascun elemento di valutazione.</w:t>
      </w:r>
      <w:r>
        <w:rPr>
          <w:rStyle w:val="Nessuno"/>
          <w:rFonts w:ascii="Arial" w:eastAsia="Arial" w:hAnsi="Arial" w:cs="Arial"/>
          <w:sz w:val="22"/>
          <w:szCs w:val="22"/>
        </w:rPr>
        <w:br/>
      </w:r>
      <w:r>
        <w:rPr>
          <w:rStyle w:val="Nessuno"/>
          <w:rFonts w:ascii="Arial" w:hAnsi="Arial"/>
          <w:sz w:val="22"/>
          <w:szCs w:val="22"/>
        </w:rPr>
        <w:t xml:space="preserve">All’interno dell’offerta tecnica non devono essere presenti dati o elementi riconducibili all’offerta economica.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tecnica deve rispettare, pena l’esclusione dalla procedura di gara, le caratteristiche minime stabilite nei documenti di gara, nel rispetto del principio di equivalenza.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d) In </w:t>
      </w:r>
      <w:proofErr w:type="spellStart"/>
      <w:r>
        <w:rPr>
          <w:rStyle w:val="Nessuno"/>
          <w:rFonts w:ascii="Arial" w:hAnsi="Arial"/>
          <w:sz w:val="22"/>
          <w:szCs w:val="22"/>
        </w:rPr>
        <w:t>conformita</w:t>
      </w:r>
      <w:proofErr w:type="spellEnd"/>
      <w:r>
        <w:rPr>
          <w:rStyle w:val="Nessuno"/>
          <w:rFonts w:ascii="Arial" w:hAnsi="Arial"/>
          <w:sz w:val="22"/>
          <w:szCs w:val="22"/>
        </w:rPr>
        <w:t xml:space="preserve">̀ alla </w:t>
      </w:r>
      <w:r>
        <w:rPr>
          <w:rStyle w:val="Nessuno"/>
          <w:rFonts w:ascii="Arial" w:hAnsi="Arial"/>
          <w:b/>
          <w:bCs/>
          <w:sz w:val="22"/>
          <w:szCs w:val="22"/>
        </w:rPr>
        <w:t>nota illustrativa relativa al bando tipo n. 1/2023</w:t>
      </w:r>
      <w:r>
        <w:rPr>
          <w:rStyle w:val="Nessuno"/>
          <w:rFonts w:ascii="Arial" w:hAnsi="Arial"/>
          <w:sz w:val="22"/>
          <w:szCs w:val="22"/>
        </w:rPr>
        <w:t xml:space="preserve">, al fine dimostrare la congruità dell’offerta, l’operatore è tenuto a dimostrare </w:t>
      </w:r>
      <w:r>
        <w:rPr>
          <w:rStyle w:val="Nessuno"/>
          <w:rFonts w:ascii="Arial" w:hAnsi="Arial"/>
          <w:b/>
          <w:bCs/>
          <w:sz w:val="22"/>
          <w:szCs w:val="22"/>
        </w:rPr>
        <w:t>l’equivalenza delle tutele garantite ai dipendenti dell’aggiudicatario</w:t>
      </w:r>
      <w:r>
        <w:rPr>
          <w:rStyle w:val="Nessuno"/>
          <w:rFonts w:ascii="Arial" w:hAnsi="Arial"/>
          <w:sz w:val="22"/>
          <w:szCs w:val="22"/>
        </w:rPr>
        <w:t xml:space="preserv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Pertanto, l’operatore economico che </w:t>
      </w:r>
      <w:r>
        <w:rPr>
          <w:rStyle w:val="Nessuno"/>
          <w:rFonts w:ascii="Arial" w:hAnsi="Arial"/>
          <w:b/>
          <w:bCs/>
          <w:sz w:val="22"/>
          <w:szCs w:val="22"/>
        </w:rPr>
        <w:t xml:space="preserve">adotta un CCNL diverso </w:t>
      </w:r>
      <w:r>
        <w:rPr>
          <w:rStyle w:val="Nessuno"/>
          <w:rFonts w:ascii="Arial" w:hAnsi="Arial"/>
          <w:sz w:val="22"/>
          <w:szCs w:val="22"/>
        </w:rPr>
        <w:t xml:space="preserve">da quello indicato al precedente </w:t>
      </w:r>
      <w:r>
        <w:rPr>
          <w:rStyle w:val="Nessuno"/>
          <w:rFonts w:ascii="Arial" w:hAnsi="Arial"/>
          <w:b/>
          <w:bCs/>
          <w:sz w:val="22"/>
          <w:szCs w:val="22"/>
        </w:rPr>
        <w:t xml:space="preserve">punto 3 </w:t>
      </w:r>
      <w:r>
        <w:rPr>
          <w:rStyle w:val="Nessuno"/>
          <w:rFonts w:ascii="Arial" w:hAnsi="Arial"/>
          <w:sz w:val="22"/>
          <w:szCs w:val="22"/>
        </w:rPr>
        <w:t xml:space="preserve">del presente disciplinare, inserisce una </w:t>
      </w:r>
      <w:r>
        <w:rPr>
          <w:rStyle w:val="Nessuno"/>
          <w:rFonts w:ascii="Arial" w:hAnsi="Arial"/>
          <w:b/>
          <w:bCs/>
          <w:sz w:val="22"/>
          <w:szCs w:val="22"/>
        </w:rPr>
        <w:t xml:space="preserve">dichiarazione di equivalenze delle tutele e l’eventuale documentazione probatoria </w:t>
      </w:r>
      <w:r>
        <w:rPr>
          <w:rStyle w:val="Nessuno"/>
          <w:rFonts w:ascii="Arial" w:hAnsi="Arial"/>
          <w:sz w:val="22"/>
          <w:szCs w:val="22"/>
        </w:rPr>
        <w:t xml:space="preserve">sulla equivalenza del proprio CCNL allegata all’offerta tecnica. </w:t>
      </w:r>
      <w:r>
        <w:rPr>
          <w:rStyle w:val="Nessuno"/>
          <w:rFonts w:ascii="Arial" w:hAnsi="Arial"/>
          <w:b/>
          <w:bCs/>
          <w:sz w:val="22"/>
          <w:szCs w:val="22"/>
        </w:rPr>
        <w:t xml:space="preserve">(N.B. tale documentazione non è oggetto di alcuna valutazione attributiva di punteggio tecnico).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e) L’operatore economico è </w:t>
      </w:r>
      <w:r w:rsidRPr="00BD16DB">
        <w:rPr>
          <w:rStyle w:val="Nessuno"/>
          <w:rFonts w:ascii="Arial" w:hAnsi="Arial"/>
          <w:b/>
          <w:bCs/>
          <w:sz w:val="22"/>
          <w:szCs w:val="22"/>
        </w:rPr>
        <w:t>tenuto ad allegare</w:t>
      </w:r>
      <w:r>
        <w:rPr>
          <w:rStyle w:val="Nessuno"/>
          <w:rFonts w:ascii="Arial" w:hAnsi="Arial"/>
          <w:sz w:val="22"/>
          <w:szCs w:val="22"/>
        </w:rPr>
        <w:t xml:space="preserve"> una dichiarazione di impegno ad assicurare una quota pari al 30% delle assunzioni necessarie di occupazione giovanile e una quota pari al 30% per cento di occupazione femminile per l’esecuzione del contratto o per la realizzazione di attività ad esso connesse o strumentali [</w:t>
      </w:r>
      <w:r>
        <w:rPr>
          <w:rStyle w:val="Nessuno"/>
          <w:rFonts w:ascii="Arial" w:hAnsi="Arial"/>
          <w:i/>
          <w:iCs/>
          <w:sz w:val="22"/>
          <w:szCs w:val="22"/>
        </w:rPr>
        <w:t xml:space="preserve">calcolate secondo le modalità di cui alle linee 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dell’articolo 1, comma 8, dell’allegato II.3 al codice. </w:t>
      </w:r>
      <w:r>
        <w:rPr>
          <w:rStyle w:val="Nessuno"/>
          <w:rFonts w:ascii="Arial" w:hAnsi="Arial"/>
          <w:i/>
          <w:iCs/>
          <w:sz w:val="22"/>
          <w:szCs w:val="22"/>
        </w:rPr>
        <w:lastRenderedPageBreak/>
        <w:t>Vedi anche D.P.C.M. del 20 giugno 2023 avente ad oggetto “Linee guida volte a favorire le pari opportunità generazionali e di genere, nonché l’inclusione lavorativa delle persone con disabilità nei contratti riservati</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f) Ai sensi dell’art. 102 del </w:t>
      </w:r>
      <w:proofErr w:type="spellStart"/>
      <w:r>
        <w:rPr>
          <w:rStyle w:val="Nessuno"/>
          <w:rFonts w:ascii="Arial" w:hAnsi="Arial"/>
          <w:sz w:val="22"/>
          <w:szCs w:val="22"/>
        </w:rPr>
        <w:t>D.Lgs.</w:t>
      </w:r>
      <w:proofErr w:type="spellEnd"/>
      <w:r>
        <w:rPr>
          <w:rStyle w:val="Nessuno"/>
          <w:rFonts w:ascii="Arial" w:hAnsi="Arial"/>
          <w:sz w:val="22"/>
          <w:szCs w:val="22"/>
        </w:rPr>
        <w:t xml:space="preserve"> 36/2023, il concorrente è altresì </w:t>
      </w:r>
      <w:r>
        <w:rPr>
          <w:rStyle w:val="Nessuno"/>
          <w:rFonts w:ascii="Arial" w:hAnsi="Arial"/>
          <w:b/>
          <w:bCs/>
          <w:sz w:val="22"/>
          <w:szCs w:val="22"/>
        </w:rPr>
        <w:t>tenuto ad allegare</w:t>
      </w:r>
      <w:r>
        <w:rPr>
          <w:rStyle w:val="Nessuno"/>
          <w:rFonts w:ascii="Arial" w:hAnsi="Arial"/>
          <w:sz w:val="22"/>
          <w:szCs w:val="22"/>
        </w:rPr>
        <w:t xml:space="preserve"> all’offerta tecnica una dichiarazione in cui vengono assunti i seguenti impegni:</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garantire la stabilità occupazionale del personale impiegato;</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garantire l’applicazione dei contratti collettivi nazionali e territoriali di settore, tenendo conto, in relazione all’oggetto dell’appalto e alle prestazioni da eseguire</w:t>
      </w:r>
      <w:r>
        <w:rPr>
          <w:rStyle w:val="Nessuno"/>
          <w:rFonts w:ascii="Arial" w:hAnsi="Arial"/>
          <w:b/>
          <w:bCs/>
          <w:sz w:val="22"/>
          <w:szCs w:val="22"/>
        </w:rPr>
        <w:t xml:space="preserve">, </w:t>
      </w:r>
      <w:r>
        <w:rPr>
          <w:rStyle w:val="Hyperlink5"/>
          <w:rFonts w:ascii="Arial" w:hAnsi="Arial"/>
          <w:sz w:val="22"/>
          <w:szCs w:val="22"/>
        </w:rPr>
        <w:t>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garantire le pari opportunità generazionali, di genere e di inclusione lavorativa per le persone con disabilità o svantaggiate.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Nella medesima dichiarazione, il corrente è tenuto a indicare le modalità con le quali intende adempiere agli impegni stessi. La presente dichiarazione deve essere resa coerentemente con gli impegni assunti giusta dichiarazione di cui al precedente punto.</w:t>
      </w: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sz w:val="22"/>
          <w:szCs w:val="22"/>
        </w:rPr>
        <w:t xml:space="preserve">g) L’operatore economico allega, eventualmente, </w:t>
      </w:r>
      <w:r>
        <w:rPr>
          <w:rStyle w:val="Nessuno"/>
          <w:rFonts w:ascii="Arial" w:hAnsi="Arial"/>
          <w:b/>
          <w:bCs/>
          <w:sz w:val="22"/>
          <w:szCs w:val="22"/>
        </w:rPr>
        <w:t>una dichiarazione firmata contenente i dettagli dell’offerta coperti da riservatezza</w:t>
      </w:r>
      <w:r>
        <w:rPr>
          <w:rStyle w:val="Nessuno"/>
          <w:rFonts w:ascii="Arial" w:hAnsi="Arial"/>
          <w:sz w:val="22"/>
          <w:szCs w:val="22"/>
        </w:rPr>
        <w:t xml:space="preserve">, argomentando in modo congruo le ragioni per le quali eventuali parti dell’offerta sono da segretare. Il concorrente a tal fine allega anche una copia firmata della relazione tecnica adeguatamente oscurata nelle parti ritenute costituenti segreti tecnici e commerciali. </w:t>
      </w:r>
      <w:r>
        <w:rPr>
          <w:rStyle w:val="Nessuno"/>
          <w:rFonts w:ascii="Arial" w:hAnsi="Arial"/>
          <w:b/>
          <w:bCs/>
          <w:sz w:val="22"/>
          <w:szCs w:val="22"/>
        </w:rPr>
        <w:t>Resta ferma, la facoltà della stazione appaltante di valutare la fondatezza delle motivazioni addotte e di chiedere al concorrente di dimostrare la tangibile sussistenza di eventuali segreti tecnici e commerciali.</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proofErr w:type="spellStart"/>
      <w:r>
        <w:rPr>
          <w:rStyle w:val="Nessuno"/>
          <w:rFonts w:ascii="Arial" w:hAnsi="Arial"/>
          <w:b/>
          <w:bCs/>
          <w:sz w:val="22"/>
          <w:szCs w:val="22"/>
        </w:rPr>
        <w:t>Modalita</w:t>
      </w:r>
      <w:proofErr w:type="spellEnd"/>
      <w:r>
        <w:rPr>
          <w:rStyle w:val="Nessuno"/>
          <w:rFonts w:ascii="Arial" w:hAnsi="Arial"/>
          <w:b/>
          <w:bCs/>
          <w:sz w:val="22"/>
          <w:szCs w:val="22"/>
        </w:rPr>
        <w:t xml:space="preserve">̀ di caricamento della Busta Tecnica </w:t>
      </w:r>
    </w:p>
    <w:p w:rsidR="00914394" w:rsidRDefault="00000000">
      <w:pPr>
        <w:pStyle w:val="Textbody"/>
        <w:tabs>
          <w:tab w:val="left" w:pos="9132"/>
        </w:tabs>
        <w:rPr>
          <w:rStyle w:val="Nessuno"/>
          <w:rFonts w:ascii="Arial" w:eastAsia="Arial" w:hAnsi="Arial" w:cs="Arial"/>
          <w:i/>
          <w:iCs/>
          <w:sz w:val="22"/>
          <w:szCs w:val="22"/>
        </w:rPr>
      </w:pPr>
      <w:r>
        <w:rPr>
          <w:rStyle w:val="Nessuno"/>
          <w:rFonts w:ascii="Arial" w:hAnsi="Arial"/>
          <w:sz w:val="22"/>
          <w:szCs w:val="22"/>
        </w:rPr>
        <w:t xml:space="preserve">Per le </w:t>
      </w:r>
      <w:proofErr w:type="spellStart"/>
      <w:r>
        <w:rPr>
          <w:rStyle w:val="Nessuno"/>
          <w:rFonts w:ascii="Arial" w:hAnsi="Arial"/>
          <w:sz w:val="22"/>
          <w:szCs w:val="22"/>
        </w:rPr>
        <w:t>modalita</w:t>
      </w:r>
      <w:proofErr w:type="spellEnd"/>
      <w:r>
        <w:rPr>
          <w:rStyle w:val="Nessuno"/>
          <w:rFonts w:ascii="Arial" w:hAnsi="Arial"/>
          <w:sz w:val="22"/>
          <w:szCs w:val="22"/>
        </w:rPr>
        <w:t>̀ di presentazione e di caricamento della busta contenente la documentazione dell’offerta tecnica, 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28" w:history="1">
        <w:r w:rsidR="00914394">
          <w:rPr>
            <w:rStyle w:val="Hyperlink3"/>
          </w:rPr>
          <w:t>https://lccsiracusa.tuttogare.it/norme_tecniche.php</w:t>
        </w:r>
      </w:hyperlink>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i/>
          <w:iCs/>
          <w:sz w:val="22"/>
          <w:szCs w:val="22"/>
        </w:rPr>
        <w:t xml:space="preserve"> </w:t>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17. OFFERTA ECONOMICA</w:t>
      </w:r>
    </w:p>
    <w:p w:rsidR="00914394" w:rsidRDefault="00000000">
      <w:pPr>
        <w:pStyle w:val="Textbody"/>
        <w:tabs>
          <w:tab w:val="left" w:pos="9132"/>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L’operatore economico inserisce, sottoscritta secondo le </w:t>
      </w:r>
      <w:proofErr w:type="spellStart"/>
      <w:r>
        <w:rPr>
          <w:rStyle w:val="Nessuno"/>
          <w:rFonts w:ascii="Arial" w:hAnsi="Arial"/>
          <w:sz w:val="22"/>
          <w:szCs w:val="22"/>
          <w:shd w:val="clear" w:color="auto" w:fill="FEFFFF"/>
        </w:rPr>
        <w:t>modalita</w:t>
      </w:r>
      <w:proofErr w:type="spellEnd"/>
      <w:r>
        <w:rPr>
          <w:rStyle w:val="Nessuno"/>
          <w:rFonts w:ascii="Arial" w:hAnsi="Arial"/>
          <w:sz w:val="22"/>
          <w:szCs w:val="22"/>
          <w:shd w:val="clear" w:color="auto" w:fill="FEFFFF"/>
        </w:rPr>
        <w:t xml:space="preserve">̀ di cui al precedente </w:t>
      </w:r>
      <w:r>
        <w:rPr>
          <w:rStyle w:val="Nessuno"/>
          <w:rFonts w:ascii="Arial" w:hAnsi="Arial"/>
          <w:b/>
          <w:bCs/>
          <w:sz w:val="22"/>
          <w:szCs w:val="22"/>
          <w:shd w:val="clear" w:color="auto" w:fill="FEFFFF"/>
        </w:rPr>
        <w:t>paragrafo 15.1</w:t>
      </w:r>
      <w:r>
        <w:rPr>
          <w:rStyle w:val="Nessuno"/>
          <w:rFonts w:ascii="Arial" w:hAnsi="Arial"/>
          <w:sz w:val="22"/>
          <w:szCs w:val="22"/>
          <w:shd w:val="clear" w:color="auto" w:fill="FEFFFF"/>
        </w:rPr>
        <w:t xml:space="preserve">, è formulata, </w:t>
      </w:r>
      <w:r>
        <w:rPr>
          <w:rStyle w:val="Nessuno"/>
          <w:rFonts w:ascii="Arial" w:hAnsi="Arial"/>
          <w:b/>
          <w:bCs/>
          <w:sz w:val="22"/>
          <w:szCs w:val="22"/>
          <w:u w:val="single"/>
          <w:shd w:val="clear" w:color="auto" w:fill="FEFFFF"/>
        </w:rPr>
        <w:t>a pena di esclusione</w:t>
      </w:r>
      <w:r>
        <w:rPr>
          <w:rStyle w:val="Nessuno"/>
          <w:rFonts w:ascii="Arial" w:hAnsi="Arial"/>
          <w:sz w:val="22"/>
          <w:szCs w:val="22"/>
          <w:shd w:val="clear" w:color="auto" w:fill="FEFFFF"/>
        </w:rPr>
        <w:t>, attraverso l’inserimento nell’apposita sezione del Sistema dei valori richiesti con modalità solo in cifre; tali valori verranno riportati su una dichiarazione d’offerta generata dal Sistema in formato .pdf “Documento di Offerta economica”, che il concorrente dovrà inviare e far pervenire attraverso il Sistema dopo averla:</w:t>
      </w:r>
    </w:p>
    <w:p w:rsidR="00914394" w:rsidRDefault="00000000">
      <w:pPr>
        <w:pStyle w:val="Textbody"/>
        <w:numPr>
          <w:ilvl w:val="0"/>
          <w:numId w:val="93"/>
        </w:numPr>
        <w:rPr>
          <w:rFonts w:ascii="Arial" w:hAnsi="Arial"/>
          <w:sz w:val="22"/>
          <w:szCs w:val="22"/>
          <w:shd w:val="clear" w:color="auto" w:fill="FEFFFF"/>
        </w:rPr>
      </w:pPr>
      <w:r>
        <w:rPr>
          <w:rFonts w:ascii="Arial" w:hAnsi="Arial"/>
          <w:sz w:val="22"/>
          <w:szCs w:val="22"/>
          <w:shd w:val="clear" w:color="auto" w:fill="FEFFFF"/>
        </w:rPr>
        <w:t>scaricata e salvata sul proprio PC;</w:t>
      </w:r>
    </w:p>
    <w:p w:rsidR="00914394" w:rsidRDefault="00000000">
      <w:pPr>
        <w:pStyle w:val="Textbody"/>
        <w:numPr>
          <w:ilvl w:val="0"/>
          <w:numId w:val="93"/>
        </w:numPr>
        <w:rPr>
          <w:rFonts w:ascii="Arial" w:hAnsi="Arial"/>
          <w:sz w:val="22"/>
          <w:szCs w:val="22"/>
          <w:shd w:val="clear" w:color="auto" w:fill="FEFFFF"/>
        </w:rPr>
      </w:pPr>
      <w:r>
        <w:rPr>
          <w:rFonts w:ascii="Arial" w:hAnsi="Arial"/>
          <w:sz w:val="22"/>
          <w:szCs w:val="22"/>
          <w:shd w:val="clear" w:color="auto" w:fill="FEFFFF"/>
        </w:rPr>
        <w:t>sottoscritta digitalmente.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economica deve indicare, </w:t>
      </w:r>
      <w:r>
        <w:rPr>
          <w:rStyle w:val="Nessuno"/>
          <w:rFonts w:ascii="Arial" w:hAnsi="Arial"/>
          <w:b/>
          <w:bCs/>
          <w:sz w:val="22"/>
          <w:szCs w:val="22"/>
          <w:u w:val="single"/>
        </w:rPr>
        <w:t>a pena di esclusione</w:t>
      </w:r>
      <w:r>
        <w:rPr>
          <w:rStyle w:val="Nessuno"/>
          <w:rFonts w:ascii="Arial" w:hAnsi="Arial"/>
          <w:sz w:val="22"/>
          <w:szCs w:val="22"/>
        </w:rPr>
        <w:t>, i seguenti elementi:</w:t>
      </w:r>
    </w:p>
    <w:p w:rsidR="00914394" w:rsidRDefault="00000000">
      <w:pPr>
        <w:pStyle w:val="Textbody"/>
        <w:numPr>
          <w:ilvl w:val="0"/>
          <w:numId w:val="95"/>
        </w:numPr>
        <w:rPr>
          <w:rFonts w:ascii="Arial" w:hAnsi="Arial"/>
          <w:sz w:val="22"/>
          <w:szCs w:val="22"/>
        </w:rPr>
      </w:pPr>
      <w:r>
        <w:rPr>
          <w:rStyle w:val="Hyperlink5"/>
          <w:rFonts w:ascii="Arial" w:hAnsi="Arial"/>
          <w:sz w:val="22"/>
          <w:szCs w:val="22"/>
        </w:rPr>
        <w:t>la stima dei costi aziendali relativi alla salute ed alla sicurezza sui luoghi di lavoro;</w:t>
      </w:r>
    </w:p>
    <w:p w:rsidR="00914394" w:rsidRDefault="00000000">
      <w:pPr>
        <w:pStyle w:val="Textbody"/>
        <w:numPr>
          <w:ilvl w:val="0"/>
          <w:numId w:val="95"/>
        </w:numPr>
        <w:rPr>
          <w:rFonts w:ascii="Arial" w:hAnsi="Arial"/>
          <w:sz w:val="22"/>
          <w:szCs w:val="22"/>
        </w:rPr>
      </w:pPr>
      <w:r>
        <w:rPr>
          <w:rStyle w:val="Hyperlink5"/>
          <w:rFonts w:ascii="Arial" w:hAnsi="Arial"/>
          <w:sz w:val="22"/>
          <w:szCs w:val="22"/>
        </w:rPr>
        <w:t>la stima dei costi della manodopera.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Verranno prese in considerazione fino a 2 cifre decimali.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Ai sensi dell’articolo 41, comma 14, del Codice, i costi della manodopera indicati al precedente paragrafo 3 del presente disciplinare non sono ribassabili. Resta la possibilità per l’operatore economico di dimostrare che il ribasso complessivo dell’importo deriva da una più efficiente organizzazione aziendale. In tal caso il concorrente dovrà allegare all’offerta economica una relazione contenente i giustificativi di 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L’indicazione dei costi della manodopera e degli oneri aziendali della sicurezza è </w:t>
      </w:r>
      <w:r>
        <w:rPr>
          <w:rStyle w:val="Nessuno"/>
          <w:rFonts w:ascii="Arial" w:hAnsi="Arial"/>
          <w:b/>
          <w:bCs/>
          <w:sz w:val="22"/>
          <w:szCs w:val="22"/>
        </w:rPr>
        <w:t>obbligatoria</w:t>
      </w:r>
      <w:r>
        <w:rPr>
          <w:rStyle w:val="Nessuno"/>
          <w:rFonts w:ascii="Arial" w:hAnsi="Arial"/>
          <w:sz w:val="22"/>
          <w:szCs w:val="22"/>
        </w:rPr>
        <w:t>: la mancanza di tale indicazione comporta l’esclusione dell’offerta dalla gara d’appalto senza possibilità di sanatoria dell’irregolarità mediante applicazione dell’istituto del soccorso istruttorio.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In presenza del ribasso della dei costi della manodopera indicati al precedente paragrafo 3 del presente disciplinare, prima dell’aggiudicazione, la Stazione Appaltante procederà a verificare il rispetto di quanto previsto dall’art. 110, comma 5 – lett. d), del Codice. In relazione agli oneri aziendali della sicurezza la Stazione Appaltante procederà alla verifica di congruità, rispetto all’entità e alle caratteristiche dei servizi in appalto, nell’ambito del procedimento di verifica dell’anomalia, ai sensi </w:t>
      </w:r>
      <w:r>
        <w:rPr>
          <w:rStyle w:val="Nessuno"/>
          <w:rFonts w:ascii="Arial" w:hAnsi="Arial"/>
          <w:sz w:val="22"/>
          <w:szCs w:val="22"/>
        </w:rPr>
        <w:lastRenderedPageBreak/>
        <w:t>dell’art. 110 – comma 5, lett. c) – del Codice.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Saranno, inoltre, esclusi dalla gara i concorrenti che presentino offerte con riferimento ad offerta relativa ad altro appalto.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Saranno escluse le offerte plurime, condizionate, tardive o alternative.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proofErr w:type="spellStart"/>
      <w:r>
        <w:rPr>
          <w:rStyle w:val="Nessuno"/>
          <w:rFonts w:ascii="Arial" w:hAnsi="Arial"/>
          <w:b/>
          <w:bCs/>
          <w:sz w:val="22"/>
          <w:szCs w:val="22"/>
        </w:rPr>
        <w:t>Modalita</w:t>
      </w:r>
      <w:proofErr w:type="spellEnd"/>
      <w:r>
        <w:rPr>
          <w:rStyle w:val="Nessuno"/>
          <w:rFonts w:ascii="Arial" w:hAnsi="Arial"/>
          <w:b/>
          <w:bCs/>
          <w:sz w:val="22"/>
          <w:szCs w:val="22"/>
        </w:rPr>
        <w:t>̀ di caricamento della Busta Economica</w:t>
      </w:r>
    </w:p>
    <w:p w:rsidR="00914394" w:rsidRDefault="00000000">
      <w:pPr>
        <w:pStyle w:val="Textbody"/>
        <w:tabs>
          <w:tab w:val="left" w:pos="9132"/>
        </w:tabs>
        <w:rPr>
          <w:rStyle w:val="Nessuno"/>
          <w:rFonts w:ascii="Arial" w:eastAsia="Arial" w:hAnsi="Arial" w:cs="Arial"/>
          <w:i/>
          <w:iCs/>
          <w:sz w:val="22"/>
          <w:szCs w:val="22"/>
        </w:rPr>
      </w:pPr>
      <w:r>
        <w:rPr>
          <w:rStyle w:val="Nessuno"/>
          <w:rFonts w:ascii="Arial" w:hAnsi="Arial"/>
          <w:sz w:val="22"/>
          <w:szCs w:val="22"/>
        </w:rPr>
        <w:t xml:space="preserve">Per le </w:t>
      </w:r>
      <w:proofErr w:type="spellStart"/>
      <w:r>
        <w:rPr>
          <w:rStyle w:val="Nessuno"/>
          <w:rFonts w:ascii="Arial" w:hAnsi="Arial"/>
          <w:sz w:val="22"/>
          <w:szCs w:val="22"/>
        </w:rPr>
        <w:t>modalita</w:t>
      </w:r>
      <w:proofErr w:type="spellEnd"/>
      <w:r>
        <w:rPr>
          <w:rStyle w:val="Nessuno"/>
          <w:rFonts w:ascii="Arial" w:hAnsi="Arial"/>
          <w:sz w:val="22"/>
          <w:szCs w:val="22"/>
        </w:rPr>
        <w:t>̀ di presentazione e di caricamento della busta contenente l’offerta economica, 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29" w:history="1">
        <w:r w:rsidR="00914394">
          <w:rPr>
            <w:rStyle w:val="Hyperlink3"/>
          </w:rPr>
          <w:t>https://lccsiracusa.tuttogare.it/norme_tecniche.php</w:t>
        </w:r>
      </w:hyperlink>
      <w:r>
        <w:rPr>
          <w:rStyle w:val="Nessuno"/>
          <w:rFonts w:ascii="Arial" w:hAnsi="Arial"/>
          <w:sz w:val="22"/>
          <w:szCs w:val="22"/>
        </w:rPr>
        <w:t>.</w:t>
      </w:r>
    </w:p>
    <w:p w:rsidR="00914394" w:rsidRDefault="00914394">
      <w:pPr>
        <w:pStyle w:val="Standard"/>
        <w:widowControl w:val="0"/>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18. CRITERIO DI AGGIUDICAZIONE</w:t>
      </w:r>
    </w:p>
    <w:p w:rsidR="00914394" w:rsidRDefault="00000000">
      <w:pPr>
        <w:pStyle w:val="Standard"/>
        <w:rPr>
          <w:rStyle w:val="Nessuno"/>
          <w:rFonts w:ascii="Arial" w:eastAsia="Arial" w:hAnsi="Arial" w:cs="Arial"/>
          <w:sz w:val="22"/>
          <w:szCs w:val="22"/>
        </w:rPr>
      </w:pPr>
      <w:bookmarkStart w:id="4" w:name="OLE_LINK1"/>
      <w:r>
        <w:rPr>
          <w:rStyle w:val="Nessuno"/>
          <w:rFonts w:ascii="Arial" w:hAnsi="Arial"/>
          <w:sz w:val="22"/>
          <w:szCs w:val="22"/>
        </w:rPr>
        <w:t>L</w:t>
      </w:r>
      <w:bookmarkStart w:id="5" w:name="OLE_LINK2"/>
      <w:bookmarkEnd w:id="4"/>
      <w:r>
        <w:rPr>
          <w:rStyle w:val="Nessuno"/>
          <w:rFonts w:ascii="Arial" w:hAnsi="Arial"/>
          <w:sz w:val="22"/>
          <w:szCs w:val="22"/>
        </w:rPr>
        <w:t>’offerta più vantaggiosa, tra le offerte valide ammesse alla gara, è quella con il maggior punteggio risultante dalla somma dei punteggi parziali della sola Offerta Tecnica.</w:t>
      </w:r>
    </w:p>
    <w:p w:rsidR="00914394" w:rsidRDefault="00914394">
      <w:pPr>
        <w:pStyle w:val="Standard"/>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tbl>
      <w:tblPr>
        <w:tblStyle w:val="TableNormal"/>
        <w:tblW w:w="67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449"/>
        <w:gridCol w:w="3304"/>
      </w:tblGrid>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OFFERTA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PUNTEGGIO MASSIMO</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Offerta tecnica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100</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Offerta economica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TOTALE</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100</w:t>
            </w:r>
          </w:p>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Ai sensi dell’art. 108 co. 10 del </w:t>
      </w:r>
      <w:proofErr w:type="spellStart"/>
      <w:r>
        <w:rPr>
          <w:rStyle w:val="Nessuno"/>
          <w:rFonts w:ascii="Arial" w:hAnsi="Arial"/>
          <w:sz w:val="22"/>
          <w:szCs w:val="22"/>
        </w:rPr>
        <w:t>D.Lgs.</w:t>
      </w:r>
      <w:proofErr w:type="spellEnd"/>
      <w:r>
        <w:rPr>
          <w:rStyle w:val="Nessuno"/>
          <w:rFonts w:ascii="Arial" w:hAnsi="Arial"/>
          <w:sz w:val="22"/>
          <w:szCs w:val="22"/>
        </w:rPr>
        <w:t xml:space="preserve"> 36/23, la Stazione Appaltante si riserva la facoltà di non procedere all’aggiudicazione se nessuna offerta risulti conveniente o idonea in relazione all’oggetto del contratto. In tal caso, tale facoltà verrà esercitata non oltre il termine di trenta giorni dalla conclusione delle valutazioni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Qualora non risulti presentata alcuna offerta o alcuna offerta appropriata/aggiudicabile secondo la </w:t>
      </w:r>
      <w:proofErr w:type="spellStart"/>
      <w:r>
        <w:rPr>
          <w:rStyle w:val="Nessuno"/>
          <w:rFonts w:ascii="Arial" w:hAnsi="Arial"/>
          <w:i/>
          <w:iCs/>
          <w:sz w:val="22"/>
          <w:szCs w:val="22"/>
        </w:rPr>
        <w:t>lex</w:t>
      </w:r>
      <w:proofErr w:type="spellEnd"/>
      <w:r>
        <w:rPr>
          <w:rStyle w:val="Nessuno"/>
          <w:rFonts w:ascii="Arial" w:hAnsi="Arial"/>
          <w:i/>
          <w:iCs/>
          <w:sz w:val="22"/>
          <w:szCs w:val="22"/>
        </w:rPr>
        <w:t xml:space="preserve"> </w:t>
      </w:r>
      <w:proofErr w:type="spellStart"/>
      <w:r>
        <w:rPr>
          <w:rStyle w:val="Nessuno"/>
          <w:rFonts w:ascii="Arial" w:hAnsi="Arial"/>
          <w:i/>
          <w:iCs/>
          <w:sz w:val="22"/>
          <w:szCs w:val="22"/>
        </w:rPr>
        <w:t>specialis</w:t>
      </w:r>
      <w:proofErr w:type="spellEnd"/>
      <w:r>
        <w:rPr>
          <w:rStyle w:val="Nessuno"/>
          <w:rFonts w:ascii="Arial" w:hAnsi="Arial"/>
          <w:sz w:val="22"/>
          <w:szCs w:val="22"/>
        </w:rPr>
        <w:t>, la Stazione Appaltante si riserva di applicare l’art. 76, comma 2, lett. a) del Codice</w:t>
      </w:r>
      <w:r>
        <w:rPr>
          <w:rStyle w:val="Nessuno"/>
          <w:rFonts w:ascii="Arial" w:hAnsi="Arial"/>
          <w:i/>
          <w:iCs/>
          <w:sz w:val="22"/>
          <w:szCs w:val="22"/>
        </w:rPr>
        <w:t xml:space="preserve">. </w:t>
      </w:r>
    </w:p>
    <w:p w:rsidR="00914394" w:rsidRDefault="00914394">
      <w:pPr>
        <w:pStyle w:val="Standard"/>
        <w:jc w:val="both"/>
        <w:rPr>
          <w:rStyle w:val="Nessuno"/>
          <w:rFonts w:ascii="Arial" w:eastAsia="Arial" w:hAnsi="Arial" w:cs="Arial"/>
          <w:sz w:val="22"/>
          <w:szCs w:val="22"/>
        </w:rPr>
      </w:pPr>
    </w:p>
    <w:p w:rsidR="00914394" w:rsidRDefault="00000000">
      <w:pPr>
        <w:pStyle w:val="Standard"/>
        <w:rPr>
          <w:rStyle w:val="Nessuno"/>
          <w:rFonts w:ascii="Arial" w:eastAsia="Arial" w:hAnsi="Arial" w:cs="Arial"/>
          <w:b/>
          <w:bCs/>
          <w:sz w:val="22"/>
          <w:szCs w:val="22"/>
        </w:rPr>
      </w:pPr>
      <w:r>
        <w:rPr>
          <w:rStyle w:val="Nessuno"/>
          <w:rFonts w:ascii="Arial" w:hAnsi="Arial"/>
          <w:b/>
          <w:bCs/>
          <w:sz w:val="22"/>
          <w:szCs w:val="22"/>
        </w:rPr>
        <w:t>18.1 - CRITERI DI VALUTAZIONE DELL’OFFERTA TECNICA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Il punteggio dell’offerta tecnica è attribuito sulla base dei criteri e sub criteri di valutazione elencati nella sottostante tabella con la relativa ripartizione dei punteggi.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Nella colonna identificata con la lettera </w:t>
      </w:r>
      <w:r>
        <w:rPr>
          <w:rStyle w:val="Nessuno"/>
          <w:rFonts w:ascii="Arial" w:hAnsi="Arial"/>
          <w:b/>
          <w:bCs/>
          <w:sz w:val="22"/>
          <w:szCs w:val="22"/>
        </w:rPr>
        <w:t xml:space="preserve">D </w:t>
      </w:r>
      <w:r>
        <w:rPr>
          <w:rStyle w:val="Nessuno"/>
          <w:rFonts w:ascii="Arial" w:hAnsi="Arial"/>
          <w:sz w:val="22"/>
          <w:szCs w:val="22"/>
        </w:rPr>
        <w:t>vengono indicati i “</w:t>
      </w:r>
      <w:r>
        <w:rPr>
          <w:rStyle w:val="Nessuno"/>
          <w:rFonts w:ascii="Arial" w:hAnsi="Arial"/>
          <w:b/>
          <w:bCs/>
          <w:sz w:val="22"/>
          <w:szCs w:val="22"/>
        </w:rPr>
        <w:t>Punteggi discrezionali</w:t>
      </w:r>
      <w:r>
        <w:rPr>
          <w:rStyle w:val="Nessuno"/>
          <w:rFonts w:ascii="Arial" w:hAnsi="Arial"/>
          <w:sz w:val="22"/>
          <w:szCs w:val="22"/>
        </w:rPr>
        <w:t xml:space="preserve">”, vale a dire i punteggi il cui coefficiente è attribuito in ragione dell’esercizio della </w:t>
      </w:r>
      <w:proofErr w:type="spellStart"/>
      <w:r>
        <w:rPr>
          <w:rStyle w:val="Nessuno"/>
          <w:rFonts w:ascii="Arial" w:hAnsi="Arial"/>
          <w:sz w:val="22"/>
          <w:szCs w:val="22"/>
        </w:rPr>
        <w:t>discrezionalita</w:t>
      </w:r>
      <w:proofErr w:type="spellEnd"/>
      <w:r>
        <w:rPr>
          <w:rStyle w:val="Nessuno"/>
          <w:rFonts w:ascii="Arial" w:hAnsi="Arial"/>
          <w:sz w:val="22"/>
          <w:szCs w:val="22"/>
        </w:rPr>
        <w:t xml:space="preserve">̀ spettante alla commissione giudicatrice.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Nella colonna identificata dalla lettera </w:t>
      </w:r>
      <w:r>
        <w:rPr>
          <w:rStyle w:val="Nessuno"/>
          <w:rFonts w:ascii="Arial" w:hAnsi="Arial"/>
          <w:b/>
          <w:bCs/>
          <w:sz w:val="22"/>
          <w:szCs w:val="22"/>
        </w:rPr>
        <w:t xml:space="preserve">T </w:t>
      </w:r>
      <w:r>
        <w:rPr>
          <w:rStyle w:val="Nessuno"/>
          <w:rFonts w:ascii="Arial" w:hAnsi="Arial"/>
          <w:sz w:val="22"/>
          <w:szCs w:val="22"/>
        </w:rPr>
        <w:t>vengono indicati i “</w:t>
      </w:r>
      <w:r>
        <w:rPr>
          <w:rStyle w:val="Nessuno"/>
          <w:rFonts w:ascii="Arial" w:hAnsi="Arial"/>
          <w:b/>
          <w:bCs/>
          <w:sz w:val="22"/>
          <w:szCs w:val="22"/>
        </w:rPr>
        <w:t xml:space="preserve">Punteggi tabellari”, </w:t>
      </w:r>
      <w:r>
        <w:rPr>
          <w:rStyle w:val="Nessuno"/>
          <w:rFonts w:ascii="Arial" w:hAnsi="Arial"/>
          <w:sz w:val="22"/>
          <w:szCs w:val="22"/>
        </w:rPr>
        <w:t xml:space="preserve">vale a dire i punteggi fissi e predefiniti che saranno attribuiti o non attribuiti in ragione dell’offerta o mancata offerta di quanto specificamente richiesto. </w:t>
      </w:r>
    </w:p>
    <w:p w:rsidR="00914394" w:rsidRDefault="00000000">
      <w:pPr>
        <w:pStyle w:val="Standard"/>
        <w:rPr>
          <w:rStyle w:val="Nessuno"/>
          <w:rFonts w:ascii="Arial" w:eastAsia="Arial" w:hAnsi="Arial" w:cs="Arial"/>
          <w:sz w:val="22"/>
          <w:szCs w:val="22"/>
        </w:rPr>
      </w:pPr>
      <w:r>
        <w:rPr>
          <w:rStyle w:val="Nessuno"/>
          <w:rFonts w:ascii="Arial" w:hAnsi="Arial"/>
          <w:b/>
          <w:bCs/>
          <w:i/>
          <w:iCs/>
          <w:sz w:val="22"/>
          <w:szCs w:val="22"/>
        </w:rPr>
        <w:t xml:space="preserve">Tabella dei criteri discrezionali (D) e tabellari (T) di valutazione dell’offerta tecnica </w:t>
      </w:r>
    </w:p>
    <w:p w:rsidR="00914394" w:rsidRDefault="00914394">
      <w:pPr>
        <w:pStyle w:val="Standard"/>
        <w:jc w:val="both"/>
        <w:rPr>
          <w:rStyle w:val="Nessuno"/>
          <w:rFonts w:ascii="Arial" w:eastAsia="Arial" w:hAnsi="Arial" w:cs="Arial"/>
          <w:b/>
          <w:bCs/>
          <w:sz w:val="22"/>
          <w:szCs w:val="22"/>
        </w:rPr>
      </w:pPr>
    </w:p>
    <w:p w:rsidR="00914394" w:rsidRDefault="00000000">
      <w:pPr>
        <w:pStyle w:val="Standard"/>
        <w:jc w:val="center"/>
        <w:rPr>
          <w:rStyle w:val="Nessuno"/>
          <w:rFonts w:ascii="Arial" w:eastAsia="Arial" w:hAnsi="Arial" w:cs="Arial"/>
          <w:b/>
          <w:bCs/>
          <w:sz w:val="22"/>
          <w:szCs w:val="22"/>
        </w:rPr>
      </w:pPr>
      <w:r>
        <w:rPr>
          <w:rStyle w:val="Nessuno"/>
          <w:rFonts w:ascii="Arial" w:hAnsi="Arial"/>
          <w:b/>
          <w:bCs/>
          <w:sz w:val="22"/>
          <w:szCs w:val="22"/>
        </w:rPr>
        <w:t>Tabella dei criteri di valutazione dell’offerta tecnica</w:t>
      </w:r>
    </w:p>
    <w:p w:rsidR="00914394" w:rsidRDefault="00914394">
      <w:pPr>
        <w:pStyle w:val="Standard"/>
        <w:rPr>
          <w:rStyle w:val="Nessuno"/>
          <w:rFonts w:ascii="Arial" w:eastAsia="Arial" w:hAnsi="Arial" w:cs="Arial"/>
          <w:sz w:val="22"/>
          <w:szCs w:val="22"/>
        </w:rPr>
      </w:pPr>
    </w:p>
    <w:tbl>
      <w:tblPr>
        <w:tblStyle w:val="TableNormal"/>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6745"/>
        <w:gridCol w:w="1417"/>
        <w:gridCol w:w="1477"/>
      </w:tblGrid>
      <w:tr w:rsidR="00914394">
        <w:trPr>
          <w:trHeight w:val="73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pPr>
            <w:r>
              <w:rPr>
                <w:rStyle w:val="Nessuno"/>
                <w:rFonts w:ascii="Arial" w:hAnsi="Arial"/>
                <w:b/>
                <w:bCs/>
                <w:color w:val="FFFFFF"/>
                <w:sz w:val="20"/>
                <w:szCs w:val="20"/>
                <w:u w:color="FFFFFF"/>
              </w:rPr>
              <w:t>CRITERIO</w:t>
            </w:r>
          </w:p>
        </w:tc>
        <w:tc>
          <w:tcPr>
            <w:tcW w:w="1417"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rPr>
                <w:rStyle w:val="Nessuno"/>
                <w:rFonts w:ascii="Arial" w:eastAsia="Arial" w:hAnsi="Arial" w:cs="Arial"/>
                <w:b/>
                <w:bCs/>
                <w:color w:val="FFFFFF"/>
                <w:sz w:val="20"/>
                <w:szCs w:val="20"/>
                <w:u w:color="FFFFFF"/>
              </w:rPr>
            </w:pPr>
            <w:r>
              <w:rPr>
                <w:rStyle w:val="Nessuno"/>
                <w:rFonts w:ascii="Arial" w:hAnsi="Arial"/>
                <w:b/>
                <w:bCs/>
                <w:color w:val="FFFFFF"/>
                <w:sz w:val="20"/>
                <w:szCs w:val="20"/>
                <w:u w:color="FFFFFF"/>
              </w:rPr>
              <w:t>PUNTEGGIO</w:t>
            </w:r>
          </w:p>
          <w:p w:rsidR="00914394" w:rsidRDefault="00000000">
            <w:pPr>
              <w:pStyle w:val="Standard"/>
              <w:suppressAutoHyphens/>
              <w:jc w:val="center"/>
            </w:pPr>
            <w:r>
              <w:rPr>
                <w:rStyle w:val="Nessuno"/>
                <w:rFonts w:ascii="Arial" w:hAnsi="Arial"/>
                <w:b/>
                <w:bCs/>
                <w:color w:val="FFFFFF"/>
                <w:sz w:val="20"/>
                <w:szCs w:val="20"/>
                <w:u w:color="FFFFFF"/>
              </w:rPr>
              <w:t>MASSIMO</w:t>
            </w:r>
          </w:p>
        </w:tc>
        <w:tc>
          <w:tcPr>
            <w:tcW w:w="1477"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pPr>
            <w:r>
              <w:rPr>
                <w:rStyle w:val="Nessuno"/>
                <w:rFonts w:ascii="Arial" w:hAnsi="Arial"/>
                <w:b/>
                <w:bCs/>
                <w:color w:val="FFFFFF"/>
                <w:sz w:val="20"/>
                <w:szCs w:val="20"/>
                <w:u w:color="FFFFFF"/>
              </w:rPr>
              <w:t>TIPOLOGIA CRITERIO</w:t>
            </w:r>
          </w:p>
        </w:tc>
      </w:tr>
      <w:tr w:rsidR="00914394">
        <w:trPr>
          <w:trHeight w:val="176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96"/>
              </w:numPr>
              <w:suppressAutoHyphens/>
              <w:jc w:val="both"/>
              <w:rPr>
                <w:rFonts w:ascii="Arial" w:hAnsi="Arial"/>
                <w:sz w:val="20"/>
                <w:szCs w:val="20"/>
              </w:rPr>
            </w:pPr>
            <w:r>
              <w:rPr>
                <w:rStyle w:val="Nessuno"/>
                <w:rFonts w:ascii="Arial" w:hAnsi="Arial"/>
                <w:b/>
                <w:bCs/>
                <w:sz w:val="20"/>
                <w:szCs w:val="20"/>
              </w:rPr>
              <w:t>QUALITA’ DELLA PROPOSTA PROGETTUALE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Coerenza della proposta progettuale rispetto ai contenuti del capitolato di gara. </w:t>
            </w:r>
          </w:p>
          <w:p w:rsidR="00914394" w:rsidRDefault="00000000">
            <w:pPr>
              <w:pStyle w:val="Standard"/>
              <w:suppressAutoHyphens/>
              <w:jc w:val="both"/>
            </w:pPr>
            <w:r>
              <w:rPr>
                <w:rStyle w:val="Nessuno"/>
                <w:rFonts w:ascii="Arial" w:hAnsi="Arial"/>
                <w:sz w:val="20"/>
                <w:szCs w:val="20"/>
              </w:rPr>
              <w:t>Livello di conoscenza degli ITS, capacità di connessione ed integrazione con il contesto sociale e amministrativo distrettuale e locale. Chiarezza espositiva e adeguatezza del livello di dettaglio della proposta, misurabilità degli output delle attività contenute nella proposta progettuale.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25</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176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98"/>
              </w:numPr>
              <w:suppressAutoHyphens/>
              <w:jc w:val="both"/>
              <w:rPr>
                <w:rFonts w:ascii="Arial" w:hAnsi="Arial"/>
                <w:sz w:val="20"/>
                <w:szCs w:val="20"/>
              </w:rPr>
            </w:pPr>
            <w:r>
              <w:rPr>
                <w:rStyle w:val="Nessuno"/>
                <w:rFonts w:ascii="Arial" w:hAnsi="Arial"/>
                <w:b/>
                <w:bCs/>
                <w:sz w:val="20"/>
                <w:szCs w:val="20"/>
              </w:rPr>
              <w:lastRenderedPageBreak/>
              <w:t>ORGANIZZAZIONE DEL SERVIZIO </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Dettagliato piano organizzativo/operativo volto ad esporre l’assetto e la distribuzione del personale secondo criteri idonei a garantire all’utente un servizio efficiente e l’immediata attivazione dello stesso.</w:t>
            </w:r>
          </w:p>
          <w:p w:rsidR="00914394" w:rsidRDefault="00000000">
            <w:pPr>
              <w:pStyle w:val="Standard"/>
              <w:suppressAutoHyphens/>
              <w:jc w:val="both"/>
            </w:pPr>
            <w:r>
              <w:rPr>
                <w:rStyle w:val="Nessuno"/>
                <w:rFonts w:ascii="Arial" w:hAnsi="Arial"/>
                <w:sz w:val="20"/>
                <w:szCs w:val="20"/>
              </w:rPr>
              <w:t>Cronoprogramma in cui si dovrà dare evidenza della articolazione temporale dello stesso servizio, garantendone la continuità, attraverso la turnazione del proprio personale anche nel periodo estivo tranne che per le giornate in cui ricadono le festività.</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sz w:val="20"/>
                <w:szCs w:val="20"/>
              </w:rPr>
            </w:pPr>
          </w:p>
          <w:p w:rsidR="00914394" w:rsidRDefault="00000000">
            <w:pPr>
              <w:pStyle w:val="Standard"/>
              <w:suppressAutoHyphens/>
              <w:jc w:val="center"/>
            </w:pPr>
            <w:r>
              <w:rPr>
                <w:rStyle w:val="Nessuno"/>
                <w:rFonts w:ascii="Arial" w:hAnsi="Arial"/>
                <w:b/>
                <w:bCs/>
                <w:sz w:val="20"/>
                <w:szCs w:val="20"/>
              </w:rPr>
              <w:t>25</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97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0"/>
              </w:numPr>
              <w:suppressAutoHyphens/>
              <w:jc w:val="both"/>
              <w:rPr>
                <w:rFonts w:ascii="Arial" w:hAnsi="Arial"/>
                <w:sz w:val="20"/>
                <w:szCs w:val="20"/>
              </w:rPr>
            </w:pPr>
            <w:r>
              <w:rPr>
                <w:rStyle w:val="Nessuno"/>
                <w:rFonts w:ascii="Arial" w:hAnsi="Arial"/>
                <w:b/>
                <w:bCs/>
                <w:sz w:val="20"/>
                <w:szCs w:val="20"/>
              </w:rPr>
              <w:t>QUALITÀ DELLE RISORSE UMANE</w:t>
            </w:r>
          </w:p>
          <w:p w:rsidR="00914394" w:rsidRDefault="00000000">
            <w:pPr>
              <w:pStyle w:val="Standard"/>
              <w:suppressAutoHyphens/>
              <w:jc w:val="both"/>
            </w:pPr>
            <w:r>
              <w:rPr>
                <w:rStyle w:val="Nessuno"/>
                <w:rFonts w:ascii="Arial" w:hAnsi="Arial"/>
                <w:sz w:val="20"/>
                <w:szCs w:val="20"/>
              </w:rPr>
              <w:t>Adeguatezza dell’attribuzione dei ruoli e delle responsabilità e curricula del personale (i curricula allegati all’offerta non devono superare le 4 pagine per ciascuno).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20</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193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2"/>
              </w:numPr>
              <w:suppressAutoHyphens/>
              <w:jc w:val="both"/>
              <w:rPr>
                <w:rFonts w:ascii="Arial" w:hAnsi="Arial"/>
                <w:sz w:val="20"/>
                <w:szCs w:val="20"/>
              </w:rPr>
            </w:pPr>
            <w:r>
              <w:rPr>
                <w:rStyle w:val="Nessuno"/>
                <w:rFonts w:ascii="Arial" w:hAnsi="Arial"/>
                <w:b/>
                <w:bCs/>
                <w:sz w:val="20"/>
                <w:szCs w:val="20"/>
              </w:rPr>
              <w:t>ESPERIENZE PROFESSIONALI ATTINENTI</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Servizi analoghi a quelli oggetto della gara eseguiti senza demerito nell’ultimo triennio antecedente alla data di pubblicazione della presente procedura, per il quale devono essere indicati una breve descrizione, le date di inizio e di fine, il/i committente/i, l’ambito di svolgimento, la categoria dei soggetti orientati, gli importi.</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numPr>
                <w:ilvl w:val="0"/>
                <w:numId w:val="103"/>
              </w:numPr>
              <w:suppressAutoHyphens/>
              <w:jc w:val="both"/>
              <w:rPr>
                <w:rFonts w:ascii="Arial" w:hAnsi="Arial"/>
                <w:sz w:val="20"/>
                <w:szCs w:val="20"/>
              </w:rPr>
            </w:pPr>
            <w:r>
              <w:rPr>
                <w:rStyle w:val="Nessuno"/>
                <w:rFonts w:ascii="Arial" w:hAnsi="Arial"/>
                <w:b/>
                <w:bCs/>
                <w:sz w:val="20"/>
                <w:szCs w:val="20"/>
              </w:rPr>
              <w:t>1 punto</w:t>
            </w:r>
            <w:r>
              <w:rPr>
                <w:rStyle w:val="Nessuno"/>
                <w:rFonts w:ascii="Arial" w:hAnsi="Arial"/>
                <w:sz w:val="20"/>
                <w:szCs w:val="20"/>
              </w:rPr>
              <w:t xml:space="preserve"> per ogni anno documentato.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352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5"/>
              </w:numPr>
              <w:suppressAutoHyphens/>
              <w:jc w:val="both"/>
              <w:rPr>
                <w:rFonts w:ascii="Arial" w:hAnsi="Arial"/>
                <w:sz w:val="20"/>
                <w:szCs w:val="20"/>
              </w:rPr>
            </w:pPr>
            <w:r>
              <w:rPr>
                <w:rStyle w:val="Nessuno"/>
                <w:rFonts w:ascii="Arial" w:hAnsi="Arial"/>
                <w:b/>
                <w:bCs/>
                <w:sz w:val="20"/>
                <w:szCs w:val="20"/>
              </w:rPr>
              <w:t>SERVIZI AGGIUNTIVI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Ore aggiuntive per profilo rispetto quanto fissato nel Capitolato del presente appalto senza oneri aggiuntivi per la stazione appaltante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 xml:space="preserve">              Modalità di attribuzione del punteggio</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Meno di 10 ore aggiuntive/anno: 2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18 ore aggiuntive/anno: 4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24 ore aggiuntive/anno: 6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38 ore aggiuntive/anno: 8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Oltre 36 ore aggiuntive/anno: 10 punti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Possesso di propria piattaforma condivisa con il Committente che fornisca report in avanzamento, indicazioni quantitative e qualitative delle attività realizzata: 2 punti;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Possesso di propria piattaforma per erogazione dell’orientamento nella modalità workshop in modalità da remoto sincrona o blended online: 2 punti.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14</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54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9"/>
              </w:numPr>
              <w:suppressAutoHyphens/>
              <w:jc w:val="both"/>
              <w:rPr>
                <w:rFonts w:ascii="Arial" w:hAnsi="Arial"/>
                <w:sz w:val="20"/>
                <w:szCs w:val="20"/>
              </w:rPr>
            </w:pPr>
            <w:r>
              <w:rPr>
                <w:rStyle w:val="Nessuno"/>
                <w:rFonts w:ascii="Arial" w:hAnsi="Arial"/>
                <w:b/>
                <w:bCs/>
                <w:sz w:val="20"/>
                <w:szCs w:val="20"/>
              </w:rPr>
              <w:t>PROPOSTE MIGLIORATIVE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 xml:space="preserve">Le proposte migliorative dovranno essere esplicitamente accettate dalla stazione appaltante. Saranno valutate le proposte migliorative che apportano un valore aggiunto al servizio sia in termini </w:t>
            </w:r>
            <w:r>
              <w:rPr>
                <w:rStyle w:val="Nessuno"/>
                <w:rFonts w:ascii="Arial" w:hAnsi="Arial"/>
                <w:b/>
                <w:bCs/>
                <w:sz w:val="20"/>
                <w:szCs w:val="20"/>
              </w:rPr>
              <w:t>quantitativi</w:t>
            </w:r>
            <w:r>
              <w:rPr>
                <w:rStyle w:val="Nessuno"/>
                <w:rFonts w:ascii="Arial" w:hAnsi="Arial"/>
                <w:sz w:val="20"/>
                <w:szCs w:val="20"/>
              </w:rPr>
              <w:t xml:space="preserve"> che in termini di </w:t>
            </w:r>
            <w:r>
              <w:rPr>
                <w:rStyle w:val="Nessuno"/>
                <w:rFonts w:ascii="Arial" w:hAnsi="Arial"/>
                <w:b/>
                <w:bCs/>
                <w:sz w:val="20"/>
                <w:szCs w:val="20"/>
              </w:rPr>
              <w:t>qualità.</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suppressAutoHyphens/>
              <w:jc w:val="both"/>
            </w:pPr>
            <w:r>
              <w:rPr>
                <w:rStyle w:val="Nessuno"/>
                <w:rFonts w:ascii="Arial" w:hAnsi="Arial"/>
                <w:b/>
                <w:bCs/>
                <w:sz w:val="20"/>
                <w:szCs w:val="20"/>
              </w:rPr>
              <w:t xml:space="preserve">1 punto </w:t>
            </w:r>
            <w:r>
              <w:rPr>
                <w:rStyle w:val="Nessuno"/>
                <w:rFonts w:ascii="Arial" w:hAnsi="Arial"/>
                <w:sz w:val="20"/>
                <w:szCs w:val="20"/>
              </w:rPr>
              <w:t>per proposta migliorativa accettata.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106"/>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11"/>
              </w:numPr>
              <w:suppressAutoHyphens/>
              <w:jc w:val="both"/>
              <w:rPr>
                <w:rFonts w:ascii="Arial" w:hAnsi="Arial"/>
                <w:sz w:val="20"/>
                <w:szCs w:val="20"/>
              </w:rPr>
            </w:pPr>
            <w:r>
              <w:rPr>
                <w:rStyle w:val="Nessuno"/>
                <w:rFonts w:ascii="Arial" w:hAnsi="Arial"/>
                <w:b/>
                <w:bCs/>
                <w:sz w:val="20"/>
                <w:szCs w:val="20"/>
              </w:rPr>
              <w:t xml:space="preserve">RETE TERRITORIALE FORMALIZZATA </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Rete Territoriale di supporto al servizio</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suppressAutoHyphens/>
              <w:jc w:val="both"/>
            </w:pPr>
            <w:r>
              <w:rPr>
                <w:rStyle w:val="Nessuno"/>
                <w:rFonts w:ascii="Arial" w:hAnsi="Arial"/>
                <w:b/>
                <w:bCs/>
                <w:sz w:val="20"/>
                <w:szCs w:val="20"/>
              </w:rPr>
              <w:t>1 punto</w:t>
            </w:r>
            <w:r>
              <w:rPr>
                <w:rStyle w:val="Nessuno"/>
                <w:rFonts w:ascii="Arial" w:hAnsi="Arial"/>
                <w:sz w:val="20"/>
                <w:szCs w:val="20"/>
              </w:rPr>
              <w:t xml:space="preserve"> per ogni protocollo pertinente stipulato con enti Istituzionali e non relativi all’ambito del servizio individuato per ambito territoriale.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7</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32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13"/>
              </w:numPr>
              <w:suppressAutoHyphens/>
              <w:jc w:val="both"/>
              <w:rPr>
                <w:rFonts w:ascii="Arial" w:hAnsi="Arial"/>
                <w:sz w:val="20"/>
                <w:szCs w:val="20"/>
              </w:rPr>
            </w:pPr>
            <w:r>
              <w:rPr>
                <w:rStyle w:val="Nessuno"/>
                <w:rFonts w:ascii="Arial" w:hAnsi="Arial"/>
                <w:b/>
                <w:bCs/>
                <w:sz w:val="20"/>
                <w:szCs w:val="20"/>
              </w:rPr>
              <w:t>CERTIFICAZIONI DEL CONCORRENTE E CLAUSOLE PREMIALI</w:t>
            </w:r>
          </w:p>
          <w:p w:rsidR="00914394" w:rsidRDefault="00000000">
            <w:pPr>
              <w:pStyle w:val="Standard"/>
              <w:suppressAutoHyphens/>
              <w:jc w:val="both"/>
              <w:rPr>
                <w:rStyle w:val="Nessuno"/>
                <w:rFonts w:ascii="Arial" w:eastAsia="Arial" w:hAnsi="Arial" w:cs="Arial"/>
                <w:b/>
                <w:bCs/>
                <w:sz w:val="20"/>
                <w:szCs w:val="20"/>
              </w:rPr>
            </w:pPr>
            <w:r>
              <w:rPr>
                <w:rStyle w:val="Nessuno"/>
                <w:rFonts w:ascii="Arial" w:hAnsi="Arial"/>
                <w:sz w:val="20"/>
                <w:szCs w:val="20"/>
              </w:rPr>
              <w:t xml:space="preserve">8-a) Certificazione di qualità UNI EN ISO 9001:2015 *: </w:t>
            </w:r>
            <w:r>
              <w:rPr>
                <w:rStyle w:val="Nessuno"/>
                <w:rFonts w:ascii="Arial" w:hAnsi="Arial"/>
                <w:b/>
                <w:bCs/>
                <w:sz w:val="20"/>
                <w:szCs w:val="20"/>
              </w:rPr>
              <w:t>1 punto;</w:t>
            </w:r>
          </w:p>
          <w:p w:rsidR="00914394" w:rsidRDefault="00000000">
            <w:pPr>
              <w:pStyle w:val="Standard"/>
              <w:suppressAutoHyphens/>
              <w:jc w:val="both"/>
            </w:pPr>
            <w:r>
              <w:rPr>
                <w:rStyle w:val="Nessuno"/>
                <w:rFonts w:ascii="Arial" w:hAnsi="Arial"/>
                <w:sz w:val="20"/>
                <w:szCs w:val="20"/>
              </w:rPr>
              <w:t xml:space="preserve">8-b) Certificazione di parità di genere ai sensi dell’art. 46 bis del d.lgs. n. 198 del 2006 (premiante ai sensi all’art. 57 e 108 comma 7 del Codice) *: </w:t>
            </w:r>
            <w:r>
              <w:rPr>
                <w:rStyle w:val="Nessuno"/>
                <w:rFonts w:ascii="Arial" w:hAnsi="Arial"/>
                <w:b/>
                <w:bCs/>
                <w:sz w:val="20"/>
                <w:szCs w:val="20"/>
              </w:rPr>
              <w:t>2 punti.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25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both"/>
            </w:pPr>
            <w:r>
              <w:rPr>
                <w:rStyle w:val="Nessuno"/>
                <w:rFonts w:ascii="Arial" w:hAnsi="Arial"/>
                <w:b/>
                <w:bCs/>
                <w:sz w:val="20"/>
                <w:szCs w:val="20"/>
              </w:rPr>
              <w:t>TOTALE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MAX 100</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widowControl w:val="0"/>
        <w:jc w:val="center"/>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sz w:val="22"/>
          <w:szCs w:val="22"/>
        </w:rPr>
        <w:t>*In caso di RTI tale premialità sarà assegnata se è posseduta dal RTI nel suo complesso</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lastRenderedPageBreak/>
        <w:t>** In caso di RTI tale premialità sarà assegnata se l’impegno sarà assunto dal RTI nel suo complesso</w:t>
      </w: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 xml:space="preserve">18.2 - METODO DI ATTRIBUZIONE DEL COEFFICIENTE PER IL CALCOLO DEL PUNTEGGIO DELL’OFFERTA TECNICA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A ciascuno degli elementi </w:t>
      </w:r>
      <w:r>
        <w:rPr>
          <w:rStyle w:val="Nessuno"/>
          <w:rFonts w:ascii="Arial" w:hAnsi="Arial"/>
          <w:b/>
          <w:bCs/>
          <w:sz w:val="22"/>
          <w:szCs w:val="22"/>
        </w:rPr>
        <w:t xml:space="preserve">qualitativi </w:t>
      </w:r>
      <w:r>
        <w:rPr>
          <w:rStyle w:val="Nessuno"/>
          <w:rFonts w:ascii="Arial" w:hAnsi="Arial"/>
          <w:sz w:val="22"/>
          <w:szCs w:val="22"/>
        </w:rPr>
        <w:t>cui è assegnato un punteggio discrezionale (D) nella tabella, è attribuito un coefficiente V</w:t>
      </w:r>
      <w:r>
        <w:rPr>
          <w:rStyle w:val="Nessuno"/>
          <w:rFonts w:ascii="Arial" w:hAnsi="Arial"/>
          <w:i/>
          <w:iCs/>
          <w:sz w:val="22"/>
          <w:szCs w:val="22"/>
        </w:rPr>
        <w:t>(a)</w:t>
      </w:r>
      <w:r>
        <w:rPr>
          <w:rStyle w:val="Nessuno"/>
          <w:rFonts w:ascii="Arial" w:hAnsi="Arial"/>
          <w:sz w:val="22"/>
          <w:szCs w:val="22"/>
        </w:rPr>
        <w:t xml:space="preserve"> da 0 a 1, determinato secondo la seguente tabella:</w:t>
      </w:r>
    </w:p>
    <w:p w:rsidR="00914394" w:rsidRDefault="00914394">
      <w:pPr>
        <w:pStyle w:val="Standard"/>
        <w:rPr>
          <w:rStyle w:val="Nessuno"/>
          <w:rFonts w:ascii="Arial" w:eastAsia="Arial" w:hAnsi="Arial" w:cs="Arial"/>
          <w:sz w:val="22"/>
          <w:szCs w:val="22"/>
        </w:rPr>
      </w:pPr>
    </w:p>
    <w:tbl>
      <w:tblPr>
        <w:tblStyle w:val="TableNormal"/>
        <w:tblW w:w="602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904"/>
        <w:gridCol w:w="3117"/>
      </w:tblGrid>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Giudizio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Coefficiente di valutazione</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ottimo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1,0</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distinto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0,9</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buono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0,8</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discreto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0,7</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0,6</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insufficiente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0,5</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gravemente insufficiente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0,4</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scarso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0,3</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gravemente scarso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0,2</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incoerente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0,1</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assente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0,0</w:t>
            </w:r>
          </w:p>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sz w:val="22"/>
          <w:szCs w:val="22"/>
        </w:rPr>
        <w:t>Il punteggio totale della singola offerta tecnica sarà calcolato secondo la seguente formula:</w:t>
      </w:r>
    </w:p>
    <w:p w:rsidR="00914394" w:rsidRDefault="00914394">
      <w:pPr>
        <w:pStyle w:val="Standard"/>
        <w:rPr>
          <w:rStyle w:val="Nessuno"/>
          <w:rFonts w:ascii="Arial" w:eastAsia="Arial" w:hAnsi="Arial" w:cs="Arial"/>
          <w:sz w:val="22"/>
          <w:szCs w:val="22"/>
        </w:rPr>
      </w:pPr>
    </w:p>
    <w:p w:rsidR="00914394" w:rsidRPr="00F52712" w:rsidRDefault="00000000">
      <w:pPr>
        <w:pStyle w:val="Standard"/>
        <w:rPr>
          <w:rStyle w:val="Nessuno"/>
          <w:rFonts w:ascii="Arial" w:eastAsia="Arial" w:hAnsi="Arial" w:cs="Arial"/>
          <w:sz w:val="22"/>
          <w:szCs w:val="22"/>
          <w:lang w:val="en-US"/>
        </w:rPr>
      </w:pPr>
      <w:r>
        <w:rPr>
          <w:rStyle w:val="Nessuno"/>
          <w:rFonts w:ascii="Arial" w:hAnsi="Arial"/>
          <w:sz w:val="22"/>
          <w:szCs w:val="22"/>
          <w:lang w:val="en-US"/>
        </w:rPr>
        <w:t xml:space="preserve">C(a) = </w:t>
      </w:r>
      <w:r>
        <w:rPr>
          <w:rStyle w:val="Nessuno"/>
          <w:rFonts w:ascii="Arial" w:hAnsi="Arial"/>
          <w:sz w:val="22"/>
          <w:szCs w:val="22"/>
        </w:rPr>
        <w:t>Σ</w:t>
      </w:r>
      <w:r>
        <w:rPr>
          <w:rStyle w:val="Nessuno"/>
          <w:rFonts w:ascii="Arial" w:hAnsi="Arial"/>
          <w:sz w:val="22"/>
          <w:szCs w:val="22"/>
          <w:vertAlign w:val="subscript"/>
          <w:lang w:val="en-US"/>
        </w:rPr>
        <w:t>n</w:t>
      </w:r>
      <w:r>
        <w:rPr>
          <w:rStyle w:val="Nessuno"/>
          <w:rFonts w:ascii="Arial" w:hAnsi="Arial"/>
          <w:sz w:val="22"/>
          <w:szCs w:val="22"/>
          <w:lang w:val="en-US"/>
        </w:rPr>
        <w:t xml:space="preserve"> W</w:t>
      </w:r>
      <w:r>
        <w:rPr>
          <w:rStyle w:val="Nessuno"/>
          <w:rFonts w:ascii="Arial" w:hAnsi="Arial"/>
          <w:sz w:val="22"/>
          <w:szCs w:val="22"/>
          <w:vertAlign w:val="subscript"/>
          <w:lang w:val="en-US"/>
        </w:rPr>
        <w:t>i</w:t>
      </w:r>
      <w:r>
        <w:rPr>
          <w:rStyle w:val="Nessuno"/>
          <w:rFonts w:ascii="Arial" w:hAnsi="Arial"/>
          <w:sz w:val="22"/>
          <w:szCs w:val="22"/>
          <w:lang w:val="en-US"/>
        </w:rPr>
        <w:t xml:space="preserve">(a) + </w:t>
      </w:r>
      <w:r>
        <w:rPr>
          <w:rStyle w:val="Nessuno"/>
          <w:rFonts w:ascii="Arial" w:hAnsi="Arial"/>
          <w:sz w:val="22"/>
          <w:szCs w:val="22"/>
        </w:rPr>
        <w:t>Σ</w:t>
      </w:r>
      <w:r>
        <w:rPr>
          <w:rStyle w:val="Nessuno"/>
          <w:rFonts w:ascii="Arial" w:hAnsi="Arial"/>
          <w:sz w:val="22"/>
          <w:szCs w:val="22"/>
          <w:vertAlign w:val="subscript"/>
          <w:lang w:val="en-US"/>
        </w:rPr>
        <w:t xml:space="preserve">m </w:t>
      </w:r>
      <w:proofErr w:type="spellStart"/>
      <w:r>
        <w:rPr>
          <w:rStyle w:val="Nessuno"/>
          <w:rFonts w:ascii="Arial" w:hAnsi="Arial"/>
          <w:sz w:val="22"/>
          <w:szCs w:val="22"/>
          <w:lang w:val="en-US"/>
        </w:rPr>
        <w:t>V</w:t>
      </w:r>
      <w:r>
        <w:rPr>
          <w:rStyle w:val="Nessuno"/>
          <w:rFonts w:ascii="Arial" w:hAnsi="Arial"/>
          <w:sz w:val="22"/>
          <w:szCs w:val="22"/>
          <w:vertAlign w:val="subscript"/>
          <w:lang w:val="en-US"/>
        </w:rPr>
        <w:t>j</w:t>
      </w:r>
      <w:proofErr w:type="spellEnd"/>
      <w:r>
        <w:rPr>
          <w:rStyle w:val="Nessuno"/>
          <w:rFonts w:ascii="Arial" w:hAnsi="Arial"/>
          <w:sz w:val="22"/>
          <w:szCs w:val="22"/>
          <w:lang w:val="en-US"/>
        </w:rPr>
        <w:t>(a)</w:t>
      </w:r>
      <w:proofErr w:type="spellStart"/>
      <w:r>
        <w:rPr>
          <w:rStyle w:val="Nessuno"/>
          <w:rFonts w:ascii="Arial" w:hAnsi="Arial"/>
          <w:sz w:val="22"/>
          <w:szCs w:val="22"/>
          <w:lang w:val="en-US"/>
        </w:rPr>
        <w:t>Y</w:t>
      </w:r>
      <w:r>
        <w:rPr>
          <w:rStyle w:val="Nessuno"/>
          <w:rFonts w:ascii="Arial" w:hAnsi="Arial"/>
          <w:sz w:val="22"/>
          <w:szCs w:val="22"/>
          <w:vertAlign w:val="subscript"/>
          <w:lang w:val="en-US"/>
        </w:rPr>
        <w:t>max</w:t>
      </w:r>
      <w:proofErr w:type="spellEnd"/>
      <w:r>
        <w:rPr>
          <w:rStyle w:val="Nessuno"/>
          <w:rFonts w:ascii="Arial" w:hAnsi="Arial"/>
          <w:sz w:val="22"/>
          <w:szCs w:val="22"/>
          <w:lang w:val="en-US"/>
        </w:rPr>
        <w:t>(a)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dove:</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C(a) = punteggio di valutazione dell’offerta (a)  </w:t>
      </w:r>
      <w:bookmarkEnd w:id="5"/>
    </w:p>
    <w:p w:rsidR="00914394" w:rsidRDefault="00000000">
      <w:pPr>
        <w:pStyle w:val="Standard"/>
        <w:rPr>
          <w:rStyle w:val="Nessuno"/>
          <w:rFonts w:ascii="Arial" w:eastAsia="Arial" w:hAnsi="Arial" w:cs="Arial"/>
          <w:sz w:val="22"/>
          <w:szCs w:val="22"/>
        </w:rPr>
      </w:pPr>
      <w:bookmarkStart w:id="6" w:name="_Hlk172456003"/>
      <w:r>
        <w:rPr>
          <w:rStyle w:val="Nessuno"/>
          <w:rFonts w:ascii="Arial" w:hAnsi="Arial"/>
          <w:sz w:val="22"/>
          <w:szCs w:val="22"/>
        </w:rPr>
        <w:t>n = numero totale dei criteri di valutazione T (dal n.4 al n.8 della tabella)</w:t>
      </w:r>
      <w:bookmarkEnd w:id="6"/>
    </w:p>
    <w:p w:rsidR="00914394" w:rsidRDefault="00000000">
      <w:pPr>
        <w:pStyle w:val="Standard"/>
        <w:rPr>
          <w:rStyle w:val="Nessuno"/>
          <w:rFonts w:ascii="Arial" w:eastAsia="Arial" w:hAnsi="Arial" w:cs="Arial"/>
          <w:sz w:val="22"/>
          <w:szCs w:val="22"/>
        </w:rPr>
      </w:pPr>
      <w:r>
        <w:rPr>
          <w:rStyle w:val="Nessuno"/>
          <w:rFonts w:ascii="Arial" w:hAnsi="Arial"/>
          <w:sz w:val="22"/>
          <w:szCs w:val="22"/>
        </w:rPr>
        <w:t>W</w:t>
      </w:r>
      <w:r>
        <w:rPr>
          <w:rStyle w:val="Nessuno"/>
          <w:rFonts w:ascii="Arial" w:hAnsi="Arial"/>
          <w:sz w:val="22"/>
          <w:szCs w:val="22"/>
          <w:vertAlign w:val="subscript"/>
        </w:rPr>
        <w:t>i</w:t>
      </w:r>
      <w:r>
        <w:rPr>
          <w:rStyle w:val="Nessuno"/>
          <w:rFonts w:ascii="Arial" w:hAnsi="Arial"/>
          <w:sz w:val="22"/>
          <w:szCs w:val="22"/>
        </w:rPr>
        <w:t xml:space="preserve"> = punteggio attribuito al (i) criterio di valutazione T</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m = numero totale dei criteri di valutazione D (dal n.1 al n.3 della tabella)</w:t>
      </w:r>
    </w:p>
    <w:p w:rsidR="00914394" w:rsidRDefault="00000000">
      <w:pPr>
        <w:pStyle w:val="Standard"/>
        <w:rPr>
          <w:rStyle w:val="Nessuno"/>
          <w:rFonts w:ascii="Arial" w:eastAsia="Arial" w:hAnsi="Arial" w:cs="Arial"/>
          <w:sz w:val="22"/>
          <w:szCs w:val="22"/>
        </w:rPr>
      </w:pPr>
      <w:proofErr w:type="spellStart"/>
      <w:r>
        <w:rPr>
          <w:rStyle w:val="Nessuno"/>
          <w:rFonts w:ascii="Arial" w:hAnsi="Arial"/>
          <w:sz w:val="22"/>
          <w:szCs w:val="22"/>
        </w:rPr>
        <w:t>Y</w:t>
      </w:r>
      <w:r>
        <w:rPr>
          <w:rStyle w:val="Nessuno"/>
          <w:rFonts w:ascii="Arial" w:hAnsi="Arial"/>
          <w:sz w:val="22"/>
          <w:szCs w:val="22"/>
          <w:vertAlign w:val="subscript"/>
        </w:rPr>
        <w:t>jmax</w:t>
      </w:r>
      <w:proofErr w:type="spellEnd"/>
      <w:r>
        <w:rPr>
          <w:rStyle w:val="Nessuno"/>
          <w:rFonts w:ascii="Arial" w:hAnsi="Arial"/>
          <w:sz w:val="22"/>
          <w:szCs w:val="22"/>
        </w:rPr>
        <w:t xml:space="preserve"> = punteggio massimo nella griglia al (j) criterio di valutazione D</w:t>
      </w:r>
    </w:p>
    <w:p w:rsidR="00914394" w:rsidRDefault="00000000">
      <w:pPr>
        <w:pStyle w:val="Standard"/>
        <w:rPr>
          <w:rStyle w:val="Nessuno"/>
          <w:rFonts w:ascii="Arial" w:eastAsia="Arial" w:hAnsi="Arial" w:cs="Arial"/>
          <w:sz w:val="22"/>
          <w:szCs w:val="22"/>
        </w:rPr>
      </w:pPr>
      <w:proofErr w:type="gramStart"/>
      <w:r>
        <w:rPr>
          <w:rStyle w:val="Nessuno"/>
          <w:rFonts w:ascii="Arial" w:hAnsi="Arial"/>
          <w:sz w:val="22"/>
          <w:szCs w:val="22"/>
        </w:rPr>
        <w:t>V</w:t>
      </w:r>
      <w:r>
        <w:rPr>
          <w:rStyle w:val="Nessuno"/>
          <w:rFonts w:ascii="Arial" w:hAnsi="Arial"/>
          <w:sz w:val="22"/>
          <w:szCs w:val="22"/>
          <w:vertAlign w:val="subscript"/>
        </w:rPr>
        <w:t xml:space="preserve">j </w:t>
      </w:r>
      <w:r>
        <w:rPr>
          <w:rStyle w:val="Nessuno"/>
          <w:rFonts w:ascii="Arial" w:hAnsi="Arial"/>
          <w:sz w:val="22"/>
          <w:szCs w:val="22"/>
        </w:rPr>
        <w:t xml:space="preserve"> =</w:t>
      </w:r>
      <w:proofErr w:type="gramEnd"/>
      <w:r>
        <w:rPr>
          <w:rStyle w:val="Nessuno"/>
          <w:rFonts w:ascii="Arial" w:hAnsi="Arial"/>
          <w:sz w:val="22"/>
          <w:szCs w:val="22"/>
        </w:rPr>
        <w:t xml:space="preserve"> coefficiente assegnato dalla Commissione al (j) criterio di valutazione D</w:t>
      </w: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b/>
          <w:bCs/>
          <w:sz w:val="22"/>
          <w:szCs w:val="22"/>
        </w:rPr>
      </w:pPr>
      <w:r>
        <w:rPr>
          <w:rStyle w:val="Nessuno"/>
          <w:rFonts w:ascii="Arial" w:hAnsi="Arial"/>
          <w:sz w:val="22"/>
          <w:szCs w:val="22"/>
        </w:rPr>
        <w:t>È prevista una soglia</w:t>
      </w:r>
      <w:r>
        <w:rPr>
          <w:rStyle w:val="Nessuno"/>
          <w:rFonts w:ascii="Arial" w:hAnsi="Arial"/>
          <w:b/>
          <w:bCs/>
          <w:sz w:val="22"/>
          <w:szCs w:val="22"/>
        </w:rPr>
        <w:t xml:space="preserve"> minima di sbarramento pari a punti </w:t>
      </w:r>
      <w:r w:rsidR="00D57B1D">
        <w:rPr>
          <w:rStyle w:val="Nessuno"/>
          <w:rFonts w:ascii="Arial" w:hAnsi="Arial"/>
          <w:b/>
          <w:bCs/>
          <w:sz w:val="22"/>
          <w:szCs w:val="22"/>
        </w:rPr>
        <w:t>4</w:t>
      </w:r>
      <w:r>
        <w:rPr>
          <w:rStyle w:val="Nessuno"/>
          <w:rFonts w:ascii="Arial" w:hAnsi="Arial"/>
          <w:b/>
          <w:bCs/>
          <w:sz w:val="22"/>
          <w:szCs w:val="22"/>
        </w:rPr>
        <w:t xml:space="preserve">0/100 </w:t>
      </w:r>
      <w:r>
        <w:rPr>
          <w:rStyle w:val="Nessuno"/>
          <w:rFonts w:ascii="Arial" w:hAnsi="Arial"/>
          <w:sz w:val="22"/>
          <w:szCs w:val="22"/>
        </w:rPr>
        <w:t>e il concorrente che non supererà detta soglia verrà escluso.</w:t>
      </w:r>
    </w:p>
    <w:p w:rsidR="00914394" w:rsidRDefault="00914394">
      <w:pPr>
        <w:pStyle w:val="Standard"/>
        <w:rPr>
          <w:rStyle w:val="Nessuno"/>
          <w:rFonts w:ascii="Arial" w:eastAsia="Arial" w:hAnsi="Arial" w:cs="Arial"/>
          <w:b/>
          <w:bCs/>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NON SI APPLICA LA C.D. “PRIMA” RIPARAMETRAZIONE</w:t>
      </w:r>
      <w:r>
        <w:rPr>
          <w:rStyle w:val="Nessuno"/>
          <w:rFonts w:ascii="Arial" w:hAnsi="Arial"/>
          <w:sz w:val="22"/>
          <w:szCs w:val="22"/>
        </w:rPr>
        <w:t xml:space="preserve">: Se nel singolo criterio nessun concorrente ottiene il punteggio massimo attribuibile, tale punteggio non </w:t>
      </w:r>
      <w:proofErr w:type="spellStart"/>
      <w:r>
        <w:rPr>
          <w:rStyle w:val="Nessuno"/>
          <w:rFonts w:ascii="Arial" w:hAnsi="Arial"/>
          <w:sz w:val="22"/>
          <w:szCs w:val="22"/>
        </w:rPr>
        <w:t>verra</w:t>
      </w:r>
      <w:proofErr w:type="spellEnd"/>
      <w:r>
        <w:rPr>
          <w:rStyle w:val="Nessuno"/>
          <w:rFonts w:ascii="Arial" w:hAnsi="Arial"/>
          <w:sz w:val="22"/>
          <w:szCs w:val="22"/>
        </w:rPr>
        <w:t xml:space="preserve">̀ riparametrato. </w:t>
      </w: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NON SI APPLICA LA C.D. “SECONDA” RIPARAMETRAZIONE</w:t>
      </w:r>
      <w:r>
        <w:rPr>
          <w:rStyle w:val="Nessuno"/>
          <w:rFonts w:ascii="Arial" w:hAnsi="Arial"/>
          <w:sz w:val="22"/>
          <w:szCs w:val="22"/>
        </w:rPr>
        <w:t xml:space="preserve">: Qualora il concorrente che ha ottenuto il punteggio complessivo tecnico </w:t>
      </w:r>
      <w:proofErr w:type="spellStart"/>
      <w:r>
        <w:rPr>
          <w:rStyle w:val="Nessuno"/>
          <w:rFonts w:ascii="Arial" w:hAnsi="Arial"/>
          <w:sz w:val="22"/>
          <w:szCs w:val="22"/>
        </w:rPr>
        <w:t>piu</w:t>
      </w:r>
      <w:proofErr w:type="spellEnd"/>
      <w:r>
        <w:rPr>
          <w:rStyle w:val="Nessuno"/>
          <w:rFonts w:ascii="Arial" w:hAnsi="Arial"/>
          <w:sz w:val="22"/>
          <w:szCs w:val="22"/>
        </w:rPr>
        <w:t xml:space="preserve">̀ alto, non abbia ottenuto il punteggio massimo attribuibile all’offerta tecnica, non si </w:t>
      </w:r>
      <w:proofErr w:type="spellStart"/>
      <w:r>
        <w:rPr>
          <w:rStyle w:val="Nessuno"/>
          <w:rFonts w:ascii="Arial" w:hAnsi="Arial"/>
          <w:sz w:val="22"/>
          <w:szCs w:val="22"/>
        </w:rPr>
        <w:t>procedera</w:t>
      </w:r>
      <w:proofErr w:type="spellEnd"/>
      <w:r>
        <w:rPr>
          <w:rStyle w:val="Nessuno"/>
          <w:rFonts w:ascii="Arial" w:hAnsi="Arial"/>
          <w:sz w:val="22"/>
          <w:szCs w:val="22"/>
        </w:rPr>
        <w:t xml:space="preserve">̀ alla riparametrazione finalizzata ad attribuire l’intero punteggio tecnico complessivo previsto negli atti di gara. </w:t>
      </w:r>
    </w:p>
    <w:p w:rsidR="00914394" w:rsidRDefault="00914394">
      <w:pPr>
        <w:pStyle w:val="Standard"/>
        <w:jc w:val="both"/>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b/>
          <w:bCs/>
          <w:sz w:val="22"/>
          <w:szCs w:val="22"/>
        </w:rPr>
        <w:t xml:space="preserve">18.3 - METODO DI ATTRIBUZIONE DEL PUNTEGGIO DELL’OFFERTA TECNICA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All’offerta economica verrà attribuito il punteggio di 0 punti. </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19. SEGGIO DI GARA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Ai sensi dell’art. 93, comma 7, del Codice la valutazione delle offerte sarà effettuata da un Seggio di Gara, anche monocratico, composto da personale della stazione appaltante, scelto secondo criteri di trasparenza e competenza.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provvedimento di nomina sarà assunto dopo la scadenza del termine per la presentazione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In capo ai membri del Seggio di Gara non devono sussistere cause ostative alla nomina né situazioni di conflitto di interessi ai sensi dell’art. 6bis della </w:t>
      </w:r>
      <w:r>
        <w:rPr>
          <w:rStyle w:val="Hyperlink0"/>
        </w:rPr>
        <w:t>legge n. 241/1990</w:t>
      </w:r>
      <w:r>
        <w:rPr>
          <w:rStyle w:val="Nessuno"/>
          <w:rFonts w:ascii="Arial" w:hAnsi="Arial"/>
          <w:sz w:val="22"/>
          <w:szCs w:val="22"/>
        </w:rPr>
        <w:t xml:space="preserve">, dell’art. 16 del </w:t>
      </w:r>
      <w:proofErr w:type="spellStart"/>
      <w:r>
        <w:rPr>
          <w:rStyle w:val="Hyperlink0"/>
        </w:rPr>
        <w:t>D.Lgs.</w:t>
      </w:r>
      <w:proofErr w:type="spellEnd"/>
      <w:r>
        <w:rPr>
          <w:rStyle w:val="Hyperlink0"/>
        </w:rPr>
        <w:t xml:space="preserve"> n. 36/2023</w:t>
      </w:r>
      <w:r>
        <w:rPr>
          <w:rStyle w:val="Nessuno"/>
          <w:rFonts w:ascii="Arial" w:hAnsi="Arial"/>
          <w:sz w:val="22"/>
          <w:szCs w:val="22"/>
        </w:rPr>
        <w:t xml:space="preserve"> e dell’art. 7 del </w:t>
      </w:r>
      <w:r>
        <w:rPr>
          <w:rStyle w:val="Hyperlink0"/>
        </w:rPr>
        <w:t>D.P.R. n. 62/2013</w:t>
      </w:r>
      <w:r>
        <w:rPr>
          <w:rStyle w:val="Nessuno"/>
          <w:rFonts w:ascii="Arial" w:hAnsi="Arial"/>
          <w:sz w:val="22"/>
          <w:szCs w:val="22"/>
        </w:rPr>
        <w:t>. Ai membri del Seggio di Gara si applicano le cause di incompatibilità di cui all’art. 93, comma 5 - lettere b) e c),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Seggio di Gara è responsabile dell’esame delle offerte economiche e dell’eventuale esame della documentazione amministrativa trasmessa dai concorrenti.</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sz w:val="22"/>
          <w:szCs w:val="22"/>
        </w:rPr>
      </w:pPr>
      <w:r>
        <w:rPr>
          <w:rStyle w:val="Nessuno"/>
          <w:rFonts w:ascii="Arial" w:hAnsi="Arial"/>
          <w:b/>
          <w:bCs/>
          <w:sz w:val="22"/>
          <w:szCs w:val="22"/>
        </w:rPr>
        <w:t>20. SVOLGIMENTO OPERAZIONI DI GARA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La prima sessione avrà luogo nella data indicata ai concorrenti tramite apposita comunicazione trasmessa a mezzo Piattaforma. La Piattaforma consente lo svolgimento delle sessioni di gara preordinate all’esame: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della documentazione amministrativa;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delle offerte tecniche;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delle offerte economiche.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La piattaforma garantisce il rispetto delle disposizioni del codice in materia di riservatezza delle operazioni e delle informazioni relative alla procedura di gara, nonché il rispetto dei principi di trasparenza.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Le operazioni di gara si svolgeranno anche in presenza di una unica offerta valida.</w:t>
      </w:r>
    </w:p>
    <w:p w:rsidR="00914394" w:rsidRDefault="00914394">
      <w:pPr>
        <w:pStyle w:val="Standard"/>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21. VERIFICA DELLA DOCUMENTAZIONE AMMINISTRATIVA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Il RUP accede alla documentazione amministrativa di ciascun concorrente, mentre l’offerta economica resta, chiusa, segreta e bloccata dal sistema, e procede 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controllare la completezza della documentazione amministrativa presentata;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verificare la conformità della documentazione amministrativa a quanto richiesto nel presente disciplinare;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attivare la procedura di soccorso istruttorio di cui al precedente Paragrafo 14.</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Gli eventuali provvedimenti di esclusione dalla procedura di gara sono comunicati entro cinque giorni dalla loro adozione.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È fatta salva la possibilità di chiedere agli offerenti, in qualsiasi momento nel corso della procedura, di presentare tutti i documenti complementari o parte di essi, qualora questo sia necessario per assicurare il corretto svolgimento della procedura.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prosecuzione della procedura è limitata ai soli concorrenti ammessi.</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22. VALUTAZIONE DELLE OFFERTE TECNICHE ED ECONOMICHE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data e l’ora in cui si procede all’apertura delle offerte tecniche sono comunicate tramite la Piattaforma ai concorrenti ammessi alla presente fase di gara.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commissione giudicatrice procede in seduta pubblica all’apertura delle offerte presentate. La commissione giudicatrice procede, successivamente, in sedute riservate all’esame e valutazione delle offerte presentate dai concorrenti e all’assegnazione dei relativi punteggi applicando i criteri e le formule indicati nel bando e nel presente disciplinare. Gli esiti della valutazione sono registrati dalla Piattaforma e resi noti ai concorrenti nella seduta pubblica telematica di apertura delle offerte economiche. </w:t>
      </w:r>
    </w:p>
    <w:p w:rsidR="00914394" w:rsidRDefault="00000000">
      <w:pPr>
        <w:pStyle w:val="Standard"/>
        <w:tabs>
          <w:tab w:val="left" w:pos="9132"/>
        </w:tabs>
        <w:jc w:val="both"/>
        <w:rPr>
          <w:rStyle w:val="Nessuno"/>
          <w:rFonts w:ascii="Arial" w:eastAsia="Arial" w:hAnsi="Arial" w:cs="Arial"/>
          <w:b/>
          <w:bCs/>
          <w:sz w:val="22"/>
          <w:szCs w:val="22"/>
        </w:rPr>
      </w:pPr>
      <w:r>
        <w:rPr>
          <w:rStyle w:val="Nessuno"/>
          <w:rFonts w:ascii="Arial" w:hAnsi="Arial"/>
          <w:sz w:val="22"/>
          <w:szCs w:val="22"/>
        </w:rPr>
        <w:t xml:space="preserve">La commissione giudicatrice rende visibile ai concorrenti, con le </w:t>
      </w:r>
      <w:proofErr w:type="spellStart"/>
      <w:r>
        <w:rPr>
          <w:rStyle w:val="Nessuno"/>
          <w:rFonts w:ascii="Arial" w:hAnsi="Arial"/>
          <w:sz w:val="22"/>
          <w:szCs w:val="22"/>
        </w:rPr>
        <w:t>modalita</w:t>
      </w:r>
      <w:proofErr w:type="spellEnd"/>
      <w:r>
        <w:rPr>
          <w:rStyle w:val="Nessuno"/>
          <w:rFonts w:ascii="Arial" w:hAnsi="Arial"/>
          <w:sz w:val="22"/>
          <w:szCs w:val="22"/>
        </w:rPr>
        <w:t xml:space="preserve">̀ di cui </w:t>
      </w:r>
      <w:r>
        <w:rPr>
          <w:rStyle w:val="Nessuno"/>
          <w:rFonts w:ascii="Arial" w:hAnsi="Arial"/>
          <w:b/>
          <w:bCs/>
          <w:sz w:val="22"/>
          <w:szCs w:val="22"/>
        </w:rPr>
        <w:t>al precedente punto 20:</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a) i punteggi tecnici attribuiti alle singole offerte tecniche;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b) le eventuali esclusioni dalla gara dei concorrenti.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Al termine delle operazioni di cui sopra la Piattaforma consente la prosecuzione della procedura ai soli concorrenti ammessi alla valutazione delle offerte economiche.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commissione giudicatrice procede all’apertura e alla valutazione delle offerte economiche, secondo i criteri e le </w:t>
      </w:r>
      <w:proofErr w:type="spellStart"/>
      <w:r>
        <w:rPr>
          <w:rStyle w:val="Nessuno"/>
          <w:rFonts w:ascii="Arial" w:hAnsi="Arial"/>
          <w:sz w:val="22"/>
          <w:szCs w:val="22"/>
        </w:rPr>
        <w:t>modalita</w:t>
      </w:r>
      <w:proofErr w:type="spellEnd"/>
      <w:r>
        <w:rPr>
          <w:rStyle w:val="Nessuno"/>
          <w:rFonts w:ascii="Arial" w:hAnsi="Arial"/>
          <w:sz w:val="22"/>
          <w:szCs w:val="22"/>
        </w:rPr>
        <w:t>̀ descritte nel disciplinare e, successivamente, all’individuazione dell’unico parametro numerico finale per la formulazione della graduatoria.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lastRenderedPageBreak/>
        <w:t xml:space="preserve">Nel caso in cui le offerte di due o </w:t>
      </w:r>
      <w:proofErr w:type="spellStart"/>
      <w:r>
        <w:rPr>
          <w:rStyle w:val="Nessuno"/>
          <w:rFonts w:ascii="Arial" w:hAnsi="Arial"/>
          <w:sz w:val="22"/>
          <w:szCs w:val="22"/>
        </w:rPr>
        <w:t>piu</w:t>
      </w:r>
      <w:proofErr w:type="spellEnd"/>
      <w:r>
        <w:rPr>
          <w:rStyle w:val="Nessuno"/>
          <w:rFonts w:ascii="Arial" w:hAnsi="Arial"/>
          <w:sz w:val="22"/>
          <w:szCs w:val="22"/>
        </w:rPr>
        <w:t xml:space="preserve">̀ concorrenti ottengano lo stesso punteggio complessivo e gli stessi punteggi parziali nell’offerta tecnica, si </w:t>
      </w:r>
      <w:proofErr w:type="spellStart"/>
      <w:r>
        <w:rPr>
          <w:rStyle w:val="Nessuno"/>
          <w:rFonts w:ascii="Arial" w:hAnsi="Arial"/>
          <w:sz w:val="22"/>
          <w:szCs w:val="22"/>
        </w:rPr>
        <w:t>procedera</w:t>
      </w:r>
      <w:proofErr w:type="spellEnd"/>
      <w:r>
        <w:rPr>
          <w:rStyle w:val="Nessuno"/>
          <w:rFonts w:ascii="Arial" w:hAnsi="Arial"/>
          <w:sz w:val="22"/>
          <w:szCs w:val="22"/>
        </w:rPr>
        <w:t xml:space="preserve">̀ direttamente al sorteggio informatico, mediante apposita </w:t>
      </w:r>
      <w:proofErr w:type="spellStart"/>
      <w:r>
        <w:rPr>
          <w:rStyle w:val="Nessuno"/>
          <w:rFonts w:ascii="Arial" w:hAnsi="Arial"/>
          <w:sz w:val="22"/>
          <w:szCs w:val="22"/>
        </w:rPr>
        <w:t>funzionalita</w:t>
      </w:r>
      <w:proofErr w:type="spellEnd"/>
      <w:r>
        <w:rPr>
          <w:rStyle w:val="Nessuno"/>
          <w:rFonts w:ascii="Arial" w:hAnsi="Arial"/>
          <w:sz w:val="22"/>
          <w:szCs w:val="22"/>
        </w:rPr>
        <w:t xml:space="preserve">̀ della piattaforma </w:t>
      </w:r>
      <w:proofErr w:type="spellStart"/>
      <w:r>
        <w:rPr>
          <w:rStyle w:val="Nessuno"/>
          <w:rFonts w:ascii="Arial" w:hAnsi="Arial"/>
          <w:sz w:val="22"/>
          <w:szCs w:val="22"/>
        </w:rPr>
        <w:t>TuttoGare</w:t>
      </w:r>
      <w:proofErr w:type="spellEnd"/>
      <w:r>
        <w:rPr>
          <w:rStyle w:val="Nessuno"/>
          <w:rFonts w:ascii="Arial" w:hAnsi="Arial"/>
          <w:sz w:val="22"/>
          <w:szCs w:val="22"/>
        </w:rPr>
        <w:t xml:space="preserve">.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All’esito delle operazioni di cui sopra, la commissione redige la graduatoria. L’offerta è esclusa in caso di: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mancata separazione dell’offerta economica dall’offerta tecnica, ovvero inserimento di elementi concernenti il prezzo nella documentazione amministrativa o nell’offerta tecnica;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presentazione di offerte parziali, plurime, condizionate, alternative oppure irregolari in quanto non rispettano i documenti di gara, ivi comprese le specifiche tecniche, o anormalmente basse;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presentazione di offerte inammissibili in quanto la commissione giudicatrice ha ritenuto sussistenti gli estremi per l’informativa alla Procura della Repubblica per reati di corruzione o fenomeni collusivi o ha verificato essere in aumento rispetto all’importo a base di gara;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mancato superamento della soglia di sbarramento per l’offerta tecnica. </w:t>
      </w:r>
    </w:p>
    <w:p w:rsidR="00914394" w:rsidRDefault="00914394">
      <w:pPr>
        <w:pStyle w:val="Standard"/>
        <w:tabs>
          <w:tab w:val="left" w:pos="9132"/>
        </w:tabs>
        <w:jc w:val="both"/>
        <w:rPr>
          <w:rStyle w:val="Nessuno"/>
          <w:rFonts w:ascii="Arial" w:eastAsia="Arial" w:hAnsi="Arial" w:cs="Arial"/>
          <w:sz w:val="22"/>
          <w:szCs w:val="22"/>
        </w:rPr>
      </w:pP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La data e l’ora in cui si procede all’apertura delle offerte economiche sono comunicate tramite la Piattaforma ai concorrenti ammessi alla presente fase di gara.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Il Seggio di Gara procede all’apertura delle offerte presentate verificando:</w:t>
      </w:r>
    </w:p>
    <w:p w:rsidR="00914394" w:rsidRDefault="00000000">
      <w:pPr>
        <w:pStyle w:val="Textbody"/>
        <w:numPr>
          <w:ilvl w:val="0"/>
          <w:numId w:val="119"/>
        </w:numPr>
        <w:rPr>
          <w:rFonts w:ascii="Arial" w:hAnsi="Arial"/>
          <w:sz w:val="22"/>
          <w:szCs w:val="22"/>
        </w:rPr>
      </w:pPr>
      <w:r>
        <w:rPr>
          <w:rStyle w:val="Hyperlink5"/>
          <w:rFonts w:ascii="Arial" w:hAnsi="Arial"/>
          <w:sz w:val="22"/>
          <w:szCs w:val="22"/>
        </w:rPr>
        <w:t>la stima dei costi aziendali relativi alla salute ed alla sicurezza sui luoghi di lavoro indicati dal concorrente;</w:t>
      </w:r>
    </w:p>
    <w:p w:rsidR="00914394" w:rsidRDefault="00000000">
      <w:pPr>
        <w:pStyle w:val="Textbody"/>
        <w:numPr>
          <w:ilvl w:val="0"/>
          <w:numId w:val="119"/>
        </w:numPr>
        <w:rPr>
          <w:rFonts w:ascii="Arial" w:hAnsi="Arial"/>
          <w:sz w:val="22"/>
          <w:szCs w:val="22"/>
        </w:rPr>
      </w:pPr>
      <w:r>
        <w:rPr>
          <w:rStyle w:val="Hyperlink5"/>
          <w:rFonts w:ascii="Arial" w:hAnsi="Arial"/>
          <w:sz w:val="22"/>
          <w:szCs w:val="22"/>
        </w:rPr>
        <w:t>la stima dei costi della manodopera, indicati dal concorrente. In caso di ribasso dei costi della manodopera indicati al precedente paragrafo 3 del presente disciplinare si procederà alla verifica della relazione contenente i giustificativi di offerta prodotta dal concorrente.</w:t>
      </w:r>
    </w:p>
    <w:p w:rsidR="00914394" w:rsidRDefault="00000000">
      <w:pPr>
        <w:pStyle w:val="NormaleWeb"/>
        <w:spacing w:before="0" w:after="0"/>
        <w:jc w:val="both"/>
        <w:rPr>
          <w:rStyle w:val="Nessuno"/>
          <w:rFonts w:ascii="Arial" w:eastAsia="Arial" w:hAnsi="Arial" w:cs="Arial"/>
          <w:sz w:val="22"/>
          <w:szCs w:val="22"/>
        </w:rPr>
      </w:pPr>
      <w:r>
        <w:rPr>
          <w:rStyle w:val="Nessuno"/>
          <w:rFonts w:ascii="Arial" w:hAnsi="Arial"/>
          <w:sz w:val="22"/>
          <w:szCs w:val="22"/>
        </w:rPr>
        <w:t>Oltre a quanto indicato all’art. 17 del presente Disciplinare, l’offerta è altresì esclusa in caso di:</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presentazione di offerte parziali, plurime, condizionate, alternative oppure irregolari in quanto non rispettano i documenti di gara, ivi comprese le specifiche tecniche, o anormalmente basse;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 xml:space="preserve"> presentazione di offerte inammissibili in quanto il Seggio di Gara ha ritenuto sussistenti gli estremi per l’informativa alla Procura della Repubblica per reati di corruzione o fenomeni collusivi o ha verificato essere in aumento rispetto all’importo a base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Gli esiti della valutazione sono registrati dalla Piattaforma.</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23. VERIFICA DI ANOMALIA DELLE OFFERTE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b/>
          <w:bCs/>
          <w:sz w:val="22"/>
          <w:szCs w:val="22"/>
        </w:rPr>
        <w:t>In relazione agli oneri aziendali della sicurezza</w:t>
      </w:r>
      <w:r>
        <w:rPr>
          <w:rStyle w:val="Nessuno"/>
          <w:rFonts w:ascii="Arial" w:hAnsi="Arial"/>
          <w:sz w:val="22"/>
          <w:szCs w:val="22"/>
        </w:rPr>
        <w:t>, la Stazione Appaltante</w:t>
      </w:r>
      <w:r w:rsidR="00D45540">
        <w:rPr>
          <w:rStyle w:val="Nessuno"/>
          <w:rFonts w:ascii="Arial" w:hAnsi="Arial"/>
          <w:sz w:val="22"/>
          <w:szCs w:val="22"/>
        </w:rPr>
        <w:t xml:space="preserve"> </w:t>
      </w:r>
      <w:r>
        <w:rPr>
          <w:rStyle w:val="Nessuno"/>
          <w:rFonts w:ascii="Arial" w:hAnsi="Arial"/>
          <w:sz w:val="22"/>
          <w:szCs w:val="22"/>
        </w:rPr>
        <w:t>potrà procedere alla verifica di congruità, rispetto all’entità e alle caratteristiche dei servizi in appalto, nell’ambito del procedimento di verifica dell’anomalia, ai sensi dell’art. 110 – comma 5, lett. c) – del Codice, secondo le seguenti modalità: il concorrente sul quale, a seguito dell’applicazione della formula parametrica su indicata, sia stato riscontrato uno scostamento significativo in diminuzione (&gt;2%) tra l’Importo della Sicurezza Offerto (ISO), da indicare nel dettaglio dell’offerta economica, e gli Oneri Aziendali Presunti (OAP) sarà tenuto a produrre alla Stazione Appaltante le giustificazioni necessarie a consentire il proseguimento del procedimento di verifica di congruità dell’importo indicato e relativo specificatamente agli oneri della sicurezza. Tali giustificazioni consistono in una relazione che dovrà argomentare opportunamente il contenuto di quanto indicato nell’offerta del concorrente.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si procederà alla verifica di congruità degli oneri della sicurezza se l’importo di sicurezza offerto (ISO), indicato nell’offerta economica, non risulta inferiore agli oneri aziendali presunti (OAP).</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Sia in caso di esito positivo che in quello di esito negativo della verifica, il R.U.P – ove previsto – potrà procedere al completamento della verifica dell’anomalia dell’offerta anche con riguardo alle altre voci di prezzo concorrenti a formare l’offerta.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In caso di raggruppamento temporaneo d’impresa il controllo da parte della stazione appaltante è svolto sempre sull’importo totale offerto degli oneri; le eventuali giustificazioni saranno presentate dalla mandataria, che dovrà correttamente raccogliere tutte le giustificazioni necessarie delle mandanti. Gli importi indicati dai componenti il raggruppamento dovranno giustificare l’importo totale sicurezza offerto e potranno essere percentualmente anche non corrispondenti alle percentuali indicate in sede di offerta per l’esecuzione delle lavorazioni.</w:t>
      </w:r>
    </w:p>
    <w:p w:rsidR="00914394" w:rsidRDefault="00000000">
      <w:pPr>
        <w:pStyle w:val="Standard"/>
        <w:jc w:val="both"/>
        <w:rPr>
          <w:rStyle w:val="Nessuno"/>
          <w:rFonts w:ascii="Arial" w:eastAsia="Arial" w:hAnsi="Arial" w:cs="Arial"/>
          <w:sz w:val="22"/>
          <w:szCs w:val="22"/>
        </w:rPr>
      </w:pPr>
      <w:r w:rsidRPr="00D45540">
        <w:rPr>
          <w:rStyle w:val="Nessuno"/>
          <w:rFonts w:ascii="Arial" w:hAnsi="Arial"/>
          <w:b/>
          <w:bCs/>
          <w:sz w:val="22"/>
          <w:szCs w:val="22"/>
        </w:rPr>
        <w:t>In presenza del ribasso della dei costi della manodopera</w:t>
      </w:r>
      <w:r>
        <w:rPr>
          <w:rStyle w:val="Nessuno"/>
          <w:rFonts w:ascii="Arial" w:hAnsi="Arial"/>
          <w:sz w:val="22"/>
          <w:szCs w:val="22"/>
        </w:rPr>
        <w:t xml:space="preserve"> indicati al precedente paragrafo 3 del presente disciplinare, il RUP procederà alla verifica della congruità del costo della manodopera che, in conformità alle previsioni dell’art. 108, comma 9, del Codice è stato indicato dal concorrente nella propria offerta. La suddetta verifica potrà essere effettuata in sede di procedura di accertamento della congruità dell’offerta anormalmente bassa (art. 110, comma 5 – lettera d), e art. 41, comma 13 </w:t>
      </w:r>
      <w:r>
        <w:rPr>
          <w:rStyle w:val="Nessuno"/>
          <w:rFonts w:ascii="Arial" w:hAnsi="Arial"/>
          <w:sz w:val="22"/>
          <w:szCs w:val="22"/>
        </w:rPr>
        <w:lastRenderedPageBreak/>
        <w:t>del Codice) ma, comunque, dovrà essere sempre effettuata prima dell’aggiudicazione in relazione alla migliore offerta ritenuta congrua.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si procederà alla verifica di congruità del costo della manodopera se l’importo indicato dal concorrente nell’offerta economica, non risulta inferiore a quello determinato dalla Stazione Appaltante.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Sia in caso di esito positivo che in quello di esito negativo della verifica, il R.U.P – ove previsto – potrà procedere al completamento della verifica dell’anomalia dell’offerta anche con riguardo alle altre voci di prezzo concorrenti a formare l’offerta.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In caso di raggruppamento temporaneo d’impresa il controllo da parte della Stazione Appaltante è svolto sempre sull’importo totale offerto del costo della manodopera.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eventuali giustificazioni saranno presentate dalla mandataria, che dovrà correttamente raccogliere tutte le giustificazioni necessarie dalle mandanti. Gli importi indicati dai componenti il raggruppamento dovranno giustificare il costo totale della manodopera offerto e potranno anche non essere percentualmente corrispondenti alle percentuali indicate in sede di offerta per l’esecuzione delle lavorazioni.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procedura sopra riportata si applica per quanto compatibile a tutti i soggetti di cui all’art. 65 ed all’art. 68 del Codice qualora l’appalto, pur facendo riferimento ad un unico concorrente, sia eseguito da più operatori economici, i quali possono sostenere singolarmente i relativi oneri.</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24. AGGIUDICAZIONE DELL’APPALTO, STIPULA DEL CONTRATTO E OBBLIGHI IN CAPO AL CONTRAENTE ALLA STIPULA DEL CONTRATTO</w:t>
      </w: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24.1 – AGGIUDICAZIONE DELL’APPALTO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proposta di aggiudicazione è formulata in favore del concorrente che ha presentato la migliore 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RUP procede, laddove non effettuata in sede di verifica di congruità dell’offerta, a verificare: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l’attendibilità degli impegni assunti dall’appaltatore in relazione a quanto richiesto dal Paragrafo 9 riguardante le pari opportunità generazionali e di inclusione lavorativa per le persone con disabilità o svantaggiate;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l’equivalenza delle tutele nel caso in cui l’aggiudicatario abbia dichiarato di applicare un diverso contratto collettivo nazionale diverso rispetto a quello indicato dalla stazione appaltante e il rispetto di quanto indicato nella clausola sociale per l’applicazione dei contratti collettivi nazionali e territoriali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L’aggiudicazione è disposta all’esito positivo della verifica del possesso dei requisiti prescritti dal presente disciplinare ed è immediatamente efficace. In caso di esito negativo delle verifiche, si procede all’esclusione, alla segnalazione all’ANAC, ad incamerare la garanzia provvisoria, ove prestata.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Successivamente si procede a riformulare la graduatoria procedendo altresì, alle verifiche nei termini sopra indicati. Nell’ipotesi di ulteriore esito negativo delle verifiche si procede nei termini sopra detti, scorrendo la graduatoria.</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24.2 - STIPULA DEL CONTRATTO</w:t>
      </w:r>
    </w:p>
    <w:p w:rsidR="00914394" w:rsidRDefault="00000000">
      <w:pPr>
        <w:pStyle w:val="Textbody"/>
        <w:tabs>
          <w:tab w:val="left" w:pos="9132"/>
        </w:tabs>
        <w:rPr>
          <w:rStyle w:val="Nessuno"/>
          <w:rFonts w:ascii="Arial" w:eastAsia="Arial" w:hAnsi="Arial" w:cs="Arial"/>
          <w:i/>
          <w:iCs/>
          <w:color w:val="FF0000"/>
          <w:sz w:val="22"/>
          <w:szCs w:val="22"/>
          <w:u w:color="FF0000"/>
        </w:rPr>
      </w:pPr>
      <w:r>
        <w:rPr>
          <w:rStyle w:val="Nessuno"/>
          <w:rFonts w:ascii="Arial" w:hAnsi="Arial"/>
          <w:sz w:val="22"/>
          <w:szCs w:val="22"/>
        </w:rPr>
        <w:t xml:space="preserve">Il contratto è stipulato entro 60 decorrenti dal provvedimento di aggiudicazione, all’uopo facendo espresso rinvio a quanto previsto dall’art. 18 del </w:t>
      </w:r>
      <w:proofErr w:type="spellStart"/>
      <w:r>
        <w:rPr>
          <w:rStyle w:val="Nessuno"/>
          <w:rFonts w:ascii="Arial" w:hAnsi="Arial"/>
          <w:sz w:val="22"/>
          <w:szCs w:val="22"/>
        </w:rPr>
        <w:t>D.Lgs.</w:t>
      </w:r>
      <w:proofErr w:type="spellEnd"/>
      <w:r>
        <w:rPr>
          <w:rStyle w:val="Nessuno"/>
          <w:rFonts w:ascii="Arial" w:hAnsi="Arial"/>
          <w:sz w:val="22"/>
          <w:szCs w:val="22"/>
        </w:rPr>
        <w:t xml:space="preserve"> 36/2023 nonché le altre norme applicate alle procedure negoziate sotto soglia comunitaria.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garanzia provvisoria dell’aggiudicatario è svincolata automaticamente al momento della stipula del contratto; la garanzia provvisoria degli altri concorrenti è svincolata con il provvedimento di aggiudicazione e perde, in ogni caso, efficacia entro trenta giorni dall’aggiudicazione.</w:t>
      </w:r>
    </w:p>
    <w:p w:rsidR="00914394" w:rsidRPr="00D45540" w:rsidRDefault="00000000">
      <w:pPr>
        <w:pStyle w:val="Textbody"/>
        <w:tabs>
          <w:tab w:val="left" w:pos="9132"/>
        </w:tabs>
        <w:rPr>
          <w:rStyle w:val="Nessuno"/>
          <w:rFonts w:ascii="Arial" w:hAnsi="Arial"/>
          <w:sz w:val="22"/>
          <w:szCs w:val="22"/>
        </w:rPr>
      </w:pPr>
      <w:r>
        <w:rPr>
          <w:rStyle w:val="Nessuno"/>
          <w:rFonts w:ascii="Arial" w:hAnsi="Arial"/>
          <w:sz w:val="22"/>
          <w:szCs w:val="22"/>
        </w:rPr>
        <w:t xml:space="preserve">All’atto della stipulazione del contratto, l’aggiudicatario deve presentare la garanzia definitiva da calcolare sull’importo contrattuale, secondo le misure e le modalità previste dall’articolo 53 del </w:t>
      </w:r>
      <w:proofErr w:type="spellStart"/>
      <w:r w:rsidR="00D45540">
        <w:rPr>
          <w:rStyle w:val="Nessuno"/>
          <w:rFonts w:ascii="Arial" w:hAnsi="Arial"/>
          <w:sz w:val="22"/>
          <w:szCs w:val="22"/>
        </w:rPr>
        <w:t>D.Lgs.</w:t>
      </w:r>
      <w:proofErr w:type="spellEnd"/>
      <w:r w:rsidR="00D45540">
        <w:rPr>
          <w:rStyle w:val="Nessuno"/>
          <w:rFonts w:ascii="Arial" w:hAnsi="Arial"/>
          <w:sz w:val="22"/>
          <w:szCs w:val="22"/>
        </w:rPr>
        <w:t xml:space="preserve"> 36/2023</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Se la stipula del contratto non avviene nel termine fissato per fatto dell’aggiudicatario può costituire motivo di revoca dell’aggiudicazione.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mancata o tardiva stipula del contratto al di fuori delle ipotesi predette, costituisce violazione del dovere di buona fede, anche in pendenza di contenzioso.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contratto diviene efficace con la stipulazione.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lastRenderedPageBreak/>
        <w:t>Nel contratto d’appalto sarà inserita una clausola risolutiva espressa legata all’esito positivo dei controlli previsti dal citato Codice.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L’affidatario comunica, per ogni sub-contratto che non costituisce subappalto, l’importo e l’oggetto del medesimo, nonché il nome del sub-contraente, prima dell’inizio della prestazione.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Sono a carico dell’aggiudicatario tutte le spese contrattuali, gli oneri fiscali quali imposte e tasse – ivi comprese quelle di registro ove dovute – relative alla stipulazione del contratto.</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24.3 – OBBLIGHI IN CAPO AL CONTRAENTE ALLA STIPULA DEL CONTRATTO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Alla stipula del contratto, ovvero della sua esecuzione anticipata, il contraente è tenuto a comunicare:</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i dati identificativi unitamente a ogni pertinente documentazione inerent</w:t>
      </w:r>
      <w:r w:rsidR="00FE50FF">
        <w:rPr>
          <w:rStyle w:val="Hyperlink5"/>
          <w:rFonts w:ascii="Arial" w:hAnsi="Arial"/>
          <w:sz w:val="22"/>
          <w:szCs w:val="22"/>
        </w:rPr>
        <w:t>i</w:t>
      </w:r>
      <w:r>
        <w:rPr>
          <w:rStyle w:val="Hyperlink5"/>
          <w:rFonts w:ascii="Arial" w:hAnsi="Arial"/>
          <w:sz w:val="22"/>
          <w:szCs w:val="22"/>
        </w:rPr>
        <w:t xml:space="preserve"> </w:t>
      </w:r>
      <w:proofErr w:type="gramStart"/>
      <w:r>
        <w:rPr>
          <w:rStyle w:val="Hyperlink5"/>
          <w:rFonts w:ascii="Arial" w:hAnsi="Arial"/>
          <w:sz w:val="22"/>
          <w:szCs w:val="22"/>
        </w:rPr>
        <w:t>le</w:t>
      </w:r>
      <w:proofErr w:type="gramEnd"/>
      <w:r>
        <w:rPr>
          <w:rStyle w:val="Hyperlink5"/>
          <w:rFonts w:ascii="Arial" w:hAnsi="Arial"/>
          <w:sz w:val="22"/>
          <w:szCs w:val="22"/>
        </w:rPr>
        <w:t xml:space="preserve"> sedi accreditate presso le località di realizzazione del servizio per lo svolgimento di attività di orientamento formativo. Resta inteso che nel caso non vi</w:t>
      </w:r>
      <w:r w:rsidR="00796D78">
        <w:rPr>
          <w:rStyle w:val="Hyperlink5"/>
          <w:rFonts w:ascii="Arial" w:hAnsi="Arial"/>
          <w:sz w:val="22"/>
          <w:szCs w:val="22"/>
        </w:rPr>
        <w:t xml:space="preserve"> si</w:t>
      </w:r>
      <w:r>
        <w:rPr>
          <w:rStyle w:val="Hyperlink5"/>
          <w:rFonts w:ascii="Arial" w:hAnsi="Arial"/>
          <w:sz w:val="22"/>
          <w:szCs w:val="22"/>
        </w:rPr>
        <w:t xml:space="preserve"> provveda nel termine massimo di sessanta giorni dalla comunicazione di aggiudicazione, </w:t>
      </w:r>
      <w:r>
        <w:rPr>
          <w:rStyle w:val="Nessuno"/>
          <w:rFonts w:ascii="Arial" w:hAnsi="Arial"/>
          <w:b/>
          <w:bCs/>
          <w:sz w:val="22"/>
          <w:szCs w:val="22"/>
        </w:rPr>
        <w:t xml:space="preserve">si procederà alla revoca </w:t>
      </w:r>
      <w:r>
        <w:rPr>
          <w:rStyle w:val="Hyperlink5"/>
          <w:rFonts w:ascii="Arial" w:hAnsi="Arial"/>
          <w:sz w:val="22"/>
          <w:szCs w:val="22"/>
        </w:rPr>
        <w:t>dell’aggiudicazione stessa;</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Il numero di dipendenti impiegati alla data di presentazione della domanda;</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la quota delle assunzioni necessarie di occupazione giovanile e occupazione femminile, in accordo agli impegni previsti e condizioni di esecuzione di cui al presente Disciplinare e assunti in sede di gara per l’esecuzione del contratto, fornendone congrua prova documentale;</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a comunicare il nominativo di un Referente del Servizio per gli aspetti gestionali ed organizzativi, quale unico interlocutore con l’Ufficio del RUP, fornendone le generalità e ogni recapito;</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a fornire l’elenco e i dati relativi al dei lavoratori assunti, con indicazione della qualifica, mansione, livello, monte ore, etc. In fase di esecuzione, il contraente deve assicurare la presenza del personale designato in sede di presentazione dell’offerta. Eventuali sostituzioni non sono ammesse a meno di comprovate motivazioni legate a sopravvenute cause di forza maggiore da documentare debitamente. Gli operatori potranno essere sostituiti previa autorizzazione del RUP. L’aggiudicatario potrà proporre in sostituzione solo profili equivalenti o dotati di competenze superiori a quelle valutate in sede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Nell’esecuzione del servizio, l’esecutore è responsabile dell’osservanza delle pertinenti disposizioni in materia di prevenzione, protezione, sicurezza, salute e igiene del lavoro, prevenzione incendi.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contraente, nell’esecuzione delle prestazioni oggetto del contratto, assume in proprio ogni responsabilità per qualsiasi danno causato a persone o beni dello stesso gestore, dell’Ente Committente o di terzi, manlevando e mantenendo indenne l’Ente Committente da qualsiasi azione di responsabilità eventualmente promossa nei confronti di quest’ultima in ragione di inadempimenti direttamente e indirettamente connessi all’esecuzione dell’appalto.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Alla sottoscrizione del contratto, ovvero alla sua esecuzione anticipata, l’esecutore è tenuto a consegnare copia di idonea copertura assicurativa per Responsabilità civile verso terzi e prestatori d’opera con primaria compagnia assicurativa italiana avente un massimale non inferiore a 5 milioni di euro, che espressamente preveda la piena tutela per qualsivoglia sinistro dovesse verificarsi nell’esecuzione delle suddette attività. I rischi non coperti dalla predetta Polizza, nonché gli scoperti e le franchigie, si intendono a carico esclusivo dell’esecutore.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sz w:val="22"/>
          <w:szCs w:val="22"/>
        </w:rPr>
      </w:pPr>
      <w:r>
        <w:rPr>
          <w:rStyle w:val="Nessuno"/>
          <w:rFonts w:ascii="Arial" w:hAnsi="Arial"/>
          <w:b/>
          <w:bCs/>
          <w:sz w:val="22"/>
          <w:szCs w:val="22"/>
        </w:rPr>
        <w:t>25. OBBLIGHI RELATIVI ALLA TRACCIABILITÀ DEI FLUSSI FINANZIARI E FATTURAZIONE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contratto d’appalto è soggetto agli obblighi in tema di tracciabilità dei flussi finanziari di cui alla </w:t>
      </w:r>
      <w:r>
        <w:rPr>
          <w:rStyle w:val="Hyperlink0"/>
        </w:rPr>
        <w:t>legge 13 agosto 2010, n. 136</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L’affidatario deve comunicare alla stazione appaltante:</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gli estremi identificativi dei conti correnti bancari o postali dedicati, con l’indicazione dell’opera/servizio/</w:t>
      </w:r>
      <w:r>
        <w:rPr>
          <w:rStyle w:val="Hyperlink5"/>
          <w:rFonts w:ascii="Arial" w:eastAsia="Arial" w:hAnsi="Arial" w:cs="Arial"/>
          <w:sz w:val="22"/>
          <w:szCs w:val="22"/>
        </w:rPr>
        <w:br/>
      </w:r>
      <w:r>
        <w:rPr>
          <w:rStyle w:val="Hyperlink5"/>
          <w:rFonts w:ascii="Arial" w:hAnsi="Arial"/>
          <w:sz w:val="22"/>
          <w:szCs w:val="22"/>
        </w:rPr>
        <w:t>fornitura alla quale sono dedicati;</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le generalità e il codice fiscale delle persone delegate ad operare sugli stessi;</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ogni modifica relativa ai dati trasmessi.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w:t>
      </w:r>
      <w:r>
        <w:rPr>
          <w:rStyle w:val="Nessuno"/>
          <w:rFonts w:ascii="Arial" w:hAnsi="Arial"/>
          <w:sz w:val="22"/>
          <w:szCs w:val="22"/>
        </w:rPr>
        <w:lastRenderedPageBreak/>
        <w:t>soggetto inadempiente, l’applicazione di una sanzione amministrativa pecuniaria da € 500,00 (euro cinquecento/00) ad € 3.000,00 (euro tremila/00).</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mancato adempimento agli obblighi previsti per la tracciabilità dei flussi finanziari relativi all’appalto comporta la risoluzione di diritto del contratto.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occasione di ogni pagamento all’appaltatore o di interventi di controllo ulteriori si procede alla verifica dell’assolvimento degli obblighi relativi alla tracciabilità dei flussi finanziari.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L'Appaltatore dovrà emettere fattura in rate bimestrali posticipate. Ogni fattura dovrà essere accompagnata da:</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t>Un report dettagliato delle attività svolte;</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t>I registri delle presenze degli utenti partecipanti alle attività di orientamento;</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t xml:space="preserve">Ogni ulteriore documentazione richiesta dal Committente ai fini del riconoscimento del servizio reso. A tal proposito, il futuro contraente è tenuto ad applicare le “linee guida e istruzioni operative” previste nell’ambito del monitoraggio e della rendicontazione nell’ambito della linea di finanziamento PIANO NAZIONALE DI RIPRESA E RESILIENZA MISSIONE 4: ISTRUZIONE E RICERCA, Componente 1 – Potenziamento dell’offerta dei servizi di istruzione: dagli asili nido alle </w:t>
      </w:r>
      <w:proofErr w:type="spellStart"/>
      <w:r>
        <w:rPr>
          <w:rStyle w:val="Hyperlink5"/>
          <w:rFonts w:ascii="Arial" w:hAnsi="Arial"/>
          <w:sz w:val="22"/>
          <w:szCs w:val="22"/>
        </w:rPr>
        <w:t>Universita</w:t>
      </w:r>
      <w:proofErr w:type="spellEnd"/>
      <w:r>
        <w:rPr>
          <w:rStyle w:val="Hyperlink5"/>
          <w:rFonts w:ascii="Arial" w:hAnsi="Arial"/>
          <w:sz w:val="22"/>
          <w:szCs w:val="22"/>
        </w:rPr>
        <w:t xml:space="preserve">̀, Investimento 1.5 “Sviluppo del sistema di formazione professionale terziaria (ITS)”, ivi compresi i chiarimenti e FAQ acquisibili sul portale “PNRR FUTURA” al link </w:t>
      </w:r>
      <w:hyperlink r:id="rId30" w:history="1">
        <w:r w:rsidR="00914394">
          <w:rPr>
            <w:rStyle w:val="Hyperlink1"/>
            <w:rFonts w:ascii="Arial" w:hAnsi="Arial"/>
            <w:sz w:val="22"/>
            <w:szCs w:val="22"/>
          </w:rPr>
          <w:t>https://pnrr.istruzione.it/avviso/titolo-potenziamento-dellofferta-formativa-degli-its-academy/</w:t>
        </w:r>
      </w:hyperlink>
      <w:r>
        <w:rPr>
          <w:rStyle w:val="Hyperlink5"/>
          <w:rFonts w:ascii="Arial" w:hAnsi="Arial"/>
          <w:sz w:val="22"/>
          <w:szCs w:val="22"/>
        </w:rPr>
        <w:t>. La fattura, pertanto, sarà liquidata solo dopo la verifica positiva della regolare esecuzione del servizio in conformità con le condizioni contrattuali e della coerenza e completezza della documentazione trasmessa.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pagamento avverrà, a norma di legge, entro 30 gg. dalla data di ricevimento delle fatture stesse, previa trasmissione, verifica e accettazione della correlata documentazione.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shd w:val="clear" w:color="auto" w:fill="FEFFFF"/>
        </w:rPr>
      </w:pPr>
      <w:r>
        <w:rPr>
          <w:rStyle w:val="Nessuno"/>
          <w:rFonts w:ascii="Arial" w:hAnsi="Arial"/>
          <w:b/>
          <w:bCs/>
          <w:sz w:val="22"/>
          <w:szCs w:val="22"/>
          <w:shd w:val="clear" w:color="auto" w:fill="FEFFFF"/>
        </w:rPr>
        <w:t>26. CODICE DI COMPORTAMENTO</w:t>
      </w:r>
    </w:p>
    <w:p w:rsidR="00914394" w:rsidRDefault="00000000">
      <w:pPr>
        <w:pStyle w:val="Textbody"/>
        <w:tabs>
          <w:tab w:val="left" w:pos="9132"/>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Nello svolgimento delle attività oggetto del contratto di appalto, </w:t>
      </w:r>
      <w:r>
        <w:rPr>
          <w:rStyle w:val="Nessuno"/>
          <w:rFonts w:ascii="Arial" w:hAnsi="Arial"/>
          <w:i/>
          <w:iCs/>
          <w:sz w:val="22"/>
          <w:szCs w:val="22"/>
          <w:shd w:val="clear" w:color="auto" w:fill="FEFFFF"/>
        </w:rPr>
        <w:t>l’aggiudicatario</w:t>
      </w:r>
      <w:r>
        <w:rPr>
          <w:rStyle w:val="Nessuno"/>
          <w:rFonts w:ascii="Arial" w:hAnsi="Arial"/>
          <w:sz w:val="22"/>
          <w:szCs w:val="22"/>
          <w:shd w:val="clear" w:color="auto" w:fill="FEFFFF"/>
        </w:rPr>
        <w:t xml:space="preserve"> deve uniformarsi ai principi e, per quanto compatibili, ai doveri di condotta richiamati nel Decreto del </w:t>
      </w:r>
      <w:r>
        <w:rPr>
          <w:rStyle w:val="Nessuno"/>
          <w:rFonts w:ascii="Arial" w:hAnsi="Arial"/>
          <w:sz w:val="22"/>
          <w:szCs w:val="22"/>
          <w:u w:val="single"/>
          <w:shd w:val="clear" w:color="auto" w:fill="FEFFFF"/>
        </w:rPr>
        <w:t>Presidente della Repubblica 16 aprile 2013 n. 62</w:t>
      </w:r>
      <w:r>
        <w:rPr>
          <w:rStyle w:val="Nessuno"/>
          <w:rFonts w:ascii="Arial" w:hAnsi="Arial"/>
          <w:sz w:val="22"/>
          <w:szCs w:val="22"/>
          <w:shd w:val="clear" w:color="auto" w:fill="FEFFFF"/>
        </w:rPr>
        <w:t>.</w:t>
      </w:r>
    </w:p>
    <w:p w:rsidR="00914394" w:rsidRDefault="00914394">
      <w:pPr>
        <w:pStyle w:val="Textbody"/>
        <w:tabs>
          <w:tab w:val="left" w:pos="9132"/>
        </w:tabs>
        <w:rPr>
          <w:rStyle w:val="Nessuno"/>
          <w:rFonts w:ascii="Arial" w:eastAsia="Arial" w:hAnsi="Arial" w:cs="Arial"/>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27. ACCESSO AGLI ATTI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L’accesso agli atti della procedura è assicurato in modalità digitale mediante acquisizione diretta dei dati e delle informazioni inseriti nelle piattaforme di e-procurement, nel rispetto di quanto previsto dall’articolo 35 del Codice e dalle vigenti disposizioni in materia di diritto di accesso ai documenti amministrativi, secondo le modalità indicate all’articolo 36 del Codice.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28. DEFINIZIONE DELLE CONTROVERSIE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Per le controversie derivanti dalla presente procedura di gara è competente il </w:t>
      </w:r>
      <w:proofErr w:type="spellStart"/>
      <w:r>
        <w:rPr>
          <w:rStyle w:val="Nessuno"/>
          <w:rFonts w:ascii="Arial" w:hAnsi="Arial"/>
          <w:sz w:val="22"/>
          <w:szCs w:val="22"/>
        </w:rPr>
        <w:t>il</w:t>
      </w:r>
      <w:proofErr w:type="spellEnd"/>
      <w:r>
        <w:rPr>
          <w:rStyle w:val="Nessuno"/>
          <w:rFonts w:ascii="Arial" w:hAnsi="Arial"/>
          <w:sz w:val="22"/>
          <w:szCs w:val="22"/>
        </w:rPr>
        <w:t xml:space="preserve"> Tribunale Amministrativo Regionale per la Sicilia – Catania.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Per le controversie derivanti dal contratto è competente il Foro di Siracusa rimanendo espressamente esclusa la compromissione in arbitri.</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Trova applicazione, la disciplina di cui all’articolo 215 del Codice relativamente al collegio consultivo tecnico formato secondo le </w:t>
      </w:r>
      <w:proofErr w:type="spellStart"/>
      <w:r>
        <w:rPr>
          <w:rStyle w:val="Nessuno"/>
          <w:rFonts w:ascii="Arial" w:hAnsi="Arial"/>
          <w:sz w:val="22"/>
          <w:szCs w:val="22"/>
        </w:rPr>
        <w:t>modalita</w:t>
      </w:r>
      <w:proofErr w:type="spellEnd"/>
      <w:r>
        <w:rPr>
          <w:rStyle w:val="Nessuno"/>
          <w:rFonts w:ascii="Arial" w:hAnsi="Arial"/>
          <w:sz w:val="22"/>
          <w:szCs w:val="22"/>
        </w:rPr>
        <w:t xml:space="preserve">̀ di cui all’allegato V.2 del Codice, al fine di prevenire le controversie o consentire la rapida risoluzione delle stesse o delle dispute tecniche di ogni natura che possano insorgere nell'esecuzione del contratto. I costi sono ripartiti tra le parti. Il collegio è costituito da n. 3 membri. </w:t>
      </w:r>
    </w:p>
    <w:p w:rsidR="00914394" w:rsidRDefault="00914394">
      <w:pPr>
        <w:pStyle w:val="Standard"/>
        <w:ind w:right="142"/>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29. TRATTAMENTO DEI DATI PERSONALI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 dati raccolti sono trattati e conservati ai sensi del </w:t>
      </w:r>
      <w:r>
        <w:rPr>
          <w:rStyle w:val="Hyperlink0"/>
        </w:rPr>
        <w:t>Regolamento UE n. 2016/679</w:t>
      </w:r>
      <w:r>
        <w:rPr>
          <w:rStyle w:val="Nessuno"/>
          <w:rFonts w:ascii="Arial" w:hAnsi="Arial"/>
          <w:sz w:val="22"/>
          <w:szCs w:val="22"/>
        </w:rPr>
        <w:t xml:space="preserve"> relativo alla protezione delle persone fisiche con riguardo al trattamento dei dati personali, nonché alla libera circolazione di tali dati, del </w:t>
      </w:r>
      <w:r>
        <w:rPr>
          <w:rStyle w:val="Hyperlink0"/>
        </w:rPr>
        <w:t>decreto legislativo 30 giugno 2003, n.196</w:t>
      </w:r>
      <w:r>
        <w:rPr>
          <w:rStyle w:val="Nessuno"/>
          <w:rFonts w:ascii="Arial" w:hAnsi="Arial"/>
          <w:sz w:val="22"/>
          <w:szCs w:val="22"/>
        </w:rPr>
        <w:t xml:space="preserve"> recante il “Codice in materia di protezione dei dati personali” e </w:t>
      </w:r>
      <w:proofErr w:type="spellStart"/>
      <w:r>
        <w:rPr>
          <w:rStyle w:val="Nessuno"/>
          <w:rFonts w:ascii="Arial" w:hAnsi="Arial"/>
          <w:sz w:val="22"/>
          <w:szCs w:val="22"/>
        </w:rPr>
        <w:t>ss</w:t>
      </w:r>
      <w:proofErr w:type="spellEnd"/>
      <w:r>
        <w:rPr>
          <w:rStyle w:val="Nessuno"/>
          <w:rFonts w:ascii="Arial" w:hAnsi="Arial"/>
          <w:sz w:val="22"/>
          <w:szCs w:val="22"/>
        </w:rPr>
        <w:t xml:space="preserve"> mm e ii, del </w:t>
      </w:r>
      <w:r>
        <w:rPr>
          <w:rStyle w:val="Hyperlink0"/>
        </w:rPr>
        <w:t>decreto della Presidenza del Consiglio dei Ministri n. 148/21</w:t>
      </w:r>
      <w:r>
        <w:rPr>
          <w:rStyle w:val="Nessuno"/>
          <w:rFonts w:ascii="Arial" w:hAnsi="Arial"/>
          <w:sz w:val="22"/>
          <w:szCs w:val="22"/>
        </w:rPr>
        <w:t xml:space="preserve"> e dei relativi atti di attuazione.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 dati raccolti sono trattati e conservati ai sensi del </w:t>
      </w:r>
      <w:r>
        <w:rPr>
          <w:rStyle w:val="Hyperlink0"/>
        </w:rPr>
        <w:t>Regolamento UE n. 2016/679</w:t>
      </w:r>
      <w:r>
        <w:rPr>
          <w:rStyle w:val="Nessuno"/>
          <w:rFonts w:ascii="Arial" w:hAnsi="Arial"/>
          <w:sz w:val="22"/>
          <w:szCs w:val="22"/>
        </w:rPr>
        <w:t xml:space="preserve"> relativo alla protezione delle persone fisiche con riguardo al trattamento dei dati personali, nonché alla libera </w:t>
      </w:r>
      <w:r>
        <w:rPr>
          <w:rStyle w:val="Nessuno"/>
          <w:rFonts w:ascii="Arial" w:hAnsi="Arial"/>
          <w:sz w:val="22"/>
          <w:szCs w:val="22"/>
        </w:rPr>
        <w:lastRenderedPageBreak/>
        <w:t xml:space="preserve">circolazione di tali dati, del </w:t>
      </w:r>
      <w:r>
        <w:rPr>
          <w:rStyle w:val="Hyperlink0"/>
        </w:rPr>
        <w:t>decreto legislativo 30 giugno 2003, n. 196</w:t>
      </w:r>
      <w:r>
        <w:rPr>
          <w:rStyle w:val="Nessuno"/>
          <w:rFonts w:ascii="Arial" w:hAnsi="Arial"/>
          <w:sz w:val="22"/>
          <w:szCs w:val="22"/>
        </w:rPr>
        <w:t xml:space="preserve"> recante il “Codice in materia di protezione dei dati personali” e </w:t>
      </w:r>
      <w:proofErr w:type="spellStart"/>
      <w:r>
        <w:rPr>
          <w:rStyle w:val="Nessuno"/>
          <w:rFonts w:ascii="Arial" w:hAnsi="Arial"/>
          <w:sz w:val="22"/>
          <w:szCs w:val="22"/>
        </w:rPr>
        <w:t>ssmm</w:t>
      </w:r>
      <w:proofErr w:type="spellEnd"/>
      <w:r>
        <w:rPr>
          <w:rStyle w:val="Nessuno"/>
          <w:rFonts w:ascii="Arial" w:hAnsi="Arial"/>
          <w:sz w:val="22"/>
          <w:szCs w:val="22"/>
        </w:rPr>
        <w:t xml:space="preserve"> e ii, del </w:t>
      </w:r>
      <w:r>
        <w:rPr>
          <w:rStyle w:val="Hyperlink0"/>
        </w:rPr>
        <w:t>decreto della Presidenza del Consiglio dei Ministri n. 148/21</w:t>
      </w:r>
      <w:r>
        <w:rPr>
          <w:rStyle w:val="Nessuno"/>
          <w:rFonts w:ascii="Arial" w:hAnsi="Arial"/>
          <w:sz w:val="22"/>
          <w:szCs w:val="22"/>
        </w:rPr>
        <w:t xml:space="preserve"> e dei relativi atti di attuazione</w:t>
      </w:r>
      <w:r>
        <w:rPr>
          <w:rStyle w:val="Nessuno"/>
          <w:rFonts w:ascii="Arial" w:hAnsi="Arial"/>
          <w:i/>
          <w:iCs/>
          <w:sz w:val="22"/>
          <w:szCs w:val="22"/>
        </w:rPr>
        <w:t>.</w:t>
      </w:r>
    </w:p>
    <w:p w:rsidR="00914394" w:rsidRDefault="00914394">
      <w:pPr>
        <w:pStyle w:val="Textbody"/>
        <w:tabs>
          <w:tab w:val="left" w:pos="9132"/>
        </w:tabs>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30. ULTERIORI DISPOSIZIONI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presente appalto è disciplinato, per quanto non previsto nel presente disciplinare, dalle disposizioni ed indicazioni contenute nel </w:t>
      </w:r>
      <w:proofErr w:type="spellStart"/>
      <w:r>
        <w:rPr>
          <w:rStyle w:val="Hyperlink0"/>
        </w:rPr>
        <w:t>D.Lgs.</w:t>
      </w:r>
      <w:proofErr w:type="spellEnd"/>
      <w:r>
        <w:rPr>
          <w:rStyle w:val="Hyperlink0"/>
        </w:rPr>
        <w:t xml:space="preserve"> n. 36/2023</w:t>
      </w:r>
      <w:r>
        <w:rPr>
          <w:rStyle w:val="Nessuno"/>
          <w:rFonts w:ascii="Arial" w:hAnsi="Arial"/>
          <w:sz w:val="22"/>
          <w:szCs w:val="22"/>
        </w:rPr>
        <w:t xml:space="preserve">, nel </w:t>
      </w:r>
      <w:proofErr w:type="spellStart"/>
      <w:r>
        <w:rPr>
          <w:rStyle w:val="Hyperlink0"/>
        </w:rPr>
        <w:t>D.Lgs.</w:t>
      </w:r>
      <w:proofErr w:type="spellEnd"/>
      <w:r>
        <w:rPr>
          <w:rStyle w:val="Hyperlink0"/>
        </w:rPr>
        <w:t xml:space="preserve"> n. 152/2006</w:t>
      </w:r>
      <w:r>
        <w:rPr>
          <w:rStyle w:val="Nessuno"/>
          <w:rFonts w:ascii="Arial" w:hAnsi="Arial"/>
          <w:sz w:val="22"/>
          <w:szCs w:val="22"/>
        </w:rPr>
        <w:t xml:space="preserve">, </w:t>
      </w:r>
      <w:r>
        <w:rPr>
          <w:rStyle w:val="Nessuno"/>
          <w:rFonts w:ascii="Arial" w:hAnsi="Arial"/>
          <w:sz w:val="22"/>
          <w:szCs w:val="22"/>
          <w:u w:val="single"/>
        </w:rPr>
        <w:t>nel decreto-legge n. 77 del 2021, convertito, con modificazioni, dalla legge n. 108 del 2021</w:t>
      </w:r>
      <w:r>
        <w:rPr>
          <w:rStyle w:val="Nessuno"/>
          <w:rFonts w:ascii="Arial" w:hAnsi="Arial"/>
          <w:sz w:val="22"/>
          <w:szCs w:val="22"/>
        </w:rPr>
        <w:t>, nonché tutte le ulteriori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Pr>
          <w:rStyle w:val="Nessuno"/>
          <w:rFonts w:ascii="Arial" w:hAnsi="Arial"/>
          <w:b/>
          <w:bCs/>
          <w:sz w:val="22"/>
          <w:szCs w:val="22"/>
        </w:rPr>
        <w:t>.</w:t>
      </w:r>
      <w:r>
        <w:rPr>
          <w:rStyle w:val="Nessuno"/>
          <w:rFonts w:ascii="Arial" w:hAnsi="Arial"/>
          <w:sz w:val="22"/>
          <w:szCs w:val="22"/>
        </w:rPr>
        <w:t>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Tutta la documentazione inerente </w:t>
      </w:r>
      <w:proofErr w:type="gramStart"/>
      <w:r>
        <w:rPr>
          <w:rStyle w:val="Nessuno"/>
          <w:rFonts w:ascii="Arial" w:hAnsi="Arial"/>
          <w:sz w:val="22"/>
          <w:szCs w:val="22"/>
        </w:rPr>
        <w:t>la</w:t>
      </w:r>
      <w:proofErr w:type="gramEnd"/>
      <w:r>
        <w:rPr>
          <w:rStyle w:val="Nessuno"/>
          <w:rFonts w:ascii="Arial" w:hAnsi="Arial"/>
          <w:sz w:val="22"/>
          <w:szCs w:val="22"/>
        </w:rPr>
        <w:t xml:space="preserve"> presente procedura negoziata è disponibile sui siti internet indicati nel presente disciplinare di gara.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Ai sensi dell’articolo 47, comma 2, del </w:t>
      </w:r>
      <w:r>
        <w:rPr>
          <w:rStyle w:val="Hyperlink0"/>
        </w:rPr>
        <w:t>D.P.R n. 445 del 2000</w:t>
      </w:r>
      <w:r>
        <w:rPr>
          <w:rStyle w:val="Nessuno"/>
          <w:rFonts w:ascii="Arial" w:hAnsi="Arial"/>
          <w:sz w:val="22"/>
          <w:szCs w:val="22"/>
        </w:rPr>
        <w:t>, le dichiarazioni rese nell’interesse proprio del dichiarante possono riguardare anche stati, qualità personali e fatti relativi ad altri soggetti di cui egli abbia diretta conoscenza.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Ai sensi degli articoli 71 e 76 del </w:t>
      </w:r>
      <w:r>
        <w:rPr>
          <w:rStyle w:val="Hyperlink0"/>
        </w:rPr>
        <w:t>D.P.R. n. 445 del 2000</w:t>
      </w:r>
      <w:r>
        <w:rPr>
          <w:rStyle w:val="Nessuno"/>
          <w:rFonts w:ascii="Arial" w:hAnsi="Arial"/>
          <w:sz w:val="22"/>
          <w:szCs w:val="22"/>
        </w:rPr>
        <w:t xml:space="preserve"> la Stazione appaltante può:</w:t>
      </w:r>
    </w:p>
    <w:p w:rsidR="00914394" w:rsidRDefault="00000000">
      <w:pPr>
        <w:pStyle w:val="Standard"/>
        <w:ind w:left="284" w:hanging="284"/>
        <w:jc w:val="both"/>
        <w:rPr>
          <w:rStyle w:val="Nessuno"/>
          <w:rFonts w:ascii="Arial" w:eastAsia="Arial" w:hAnsi="Arial" w:cs="Arial"/>
          <w:sz w:val="22"/>
          <w:szCs w:val="22"/>
        </w:rPr>
      </w:pPr>
      <w:r>
        <w:rPr>
          <w:rStyle w:val="Nessuno"/>
          <w:rFonts w:ascii="Arial" w:hAnsi="Arial"/>
          <w:sz w:val="22"/>
          <w:szCs w:val="22"/>
        </w:rPr>
        <w:t>1)</w:t>
      </w:r>
      <w:r>
        <w:rPr>
          <w:rStyle w:val="Nessuno"/>
          <w:rFonts w:ascii="Arial" w:hAnsi="Arial"/>
          <w:sz w:val="22"/>
          <w:szCs w:val="22"/>
        </w:rPr>
        <w:tab/>
        <w:t xml:space="preserve">procedere in ogni momento alla verifica del possesso dei requisiti di ordine generale richiedendo ad uno o più concorrenti di comprovare in tutto o in parte uno o più d’uno dei predetti requisiti, salvo il caso in cui possano essere verificati d’ufficio ai sensi dell’articolo 43 del </w:t>
      </w:r>
      <w:r>
        <w:rPr>
          <w:rStyle w:val="Hyperlink0"/>
        </w:rPr>
        <w:t>D.P.R. n. 445 del 2000</w:t>
      </w:r>
      <w:r>
        <w:rPr>
          <w:rStyle w:val="Nessuno"/>
          <w:rFonts w:ascii="Arial" w:hAnsi="Arial"/>
          <w:sz w:val="22"/>
          <w:szCs w:val="22"/>
        </w:rPr>
        <w:t>, escludendo l’operatore economico per il quale i requisiti dichiarati non siano comprovati;</w:t>
      </w:r>
    </w:p>
    <w:p w:rsidR="00914394" w:rsidRDefault="00000000">
      <w:pPr>
        <w:pStyle w:val="Standard"/>
        <w:ind w:left="284" w:hanging="284"/>
        <w:jc w:val="both"/>
        <w:rPr>
          <w:rStyle w:val="Nessuno"/>
          <w:rFonts w:ascii="Arial" w:eastAsia="Arial" w:hAnsi="Arial" w:cs="Arial"/>
          <w:sz w:val="22"/>
          <w:szCs w:val="22"/>
        </w:rPr>
      </w:pPr>
      <w:r>
        <w:rPr>
          <w:rStyle w:val="Nessuno"/>
          <w:rFonts w:ascii="Arial" w:hAnsi="Arial"/>
          <w:sz w:val="22"/>
          <w:szCs w:val="22"/>
        </w:rPr>
        <w:t>2)</w:t>
      </w:r>
      <w:r>
        <w:rPr>
          <w:rStyle w:val="Nessuno"/>
          <w:rFonts w:ascii="Arial" w:hAnsi="Arial"/>
          <w:sz w:val="22"/>
          <w:szCs w:val="22"/>
        </w:rPr>
        <w:tab/>
        <w:t>può revocare l’aggiudicazione, qualora accerti, in ogni momento e con qualunque mezzo di prova, l’assenza di uno o più d’uno dei requisiti richiesti in sede di gara, oppure una violazione in materia di dichiarazioni, anche a prescindere dalle verifiche già effettuate.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Stazione Appaltante si riserva la facoltà di non dar luogo alla gara o di prorogarne i termini, dandone comunicazione ai concorrenti, per motivi di pubblico interesse o qualora non vi siano sufficienti disponibilità di bilancio, senza che gli stessi possano accampare alcuna pretesa al riguardo.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 procederà all’aggiudicazione anche in presenza di una sola offerta valida, sempre che sia ritenuta congrua e conveniente ai sensi dell’art. 97, commi 4, 5 e 6,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È facoltà della Stazione Appaltante di non procedere all’aggiudicazione per motivi di interesse pubblico e nel caso in cui nessuna offerta risulti conveniente o idonea in relazione all’oggetto del contratto.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L’offerta è immediatamente impegnativa ed irrevocabile per l’impresa, lo sarà per la Stazione Appaltante dalla data di stipulazione del contratto d’appalto.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importi dichiarati da imprese stabilite in altro stato membro dell’Unione Europea, qualora espressi in altra valuta, dovranno essere convertiti in Euro.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L’efficacia della gara e della conseguente aggiudicazione è subordinata all’esecutività di tutti gli atti preordinati ad essa.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in cui non si possa dar luogo all’aggiudicazione, nulla sarà dovuto alle ditte partecipanti.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L’aggiudicazione è subordinata:</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all’accertamento della regolarità contributiva relativamente al personale dipendente mediante acquisizione del documento unico di regolarità contributiva (DURC);</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all’accertamento del possesso dei requisiti richiesti da parte del miglior offerente;</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all’approvazione del verbale di gara e dell’aggiudicazione da parte del competente organo della Stazione appaltante.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Ai sensi dell’art. 17, comma 6, del Codice, l’aggiudicazione non equivale ad accettazione dell’offerta. L’offerta dell’aggiudicatario è irrevocabile fino al termine stabilito per la stipulazione del contratto.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comunicazione dell’aggiudicazione definitiva e quella della stipulazione, e la notizia della spedizione saranno, rispettivamente, spedite e comunicate lo stesso giorno a tutti i destinatari, salva l’oggettiva impossibilità di tale contestualità a causa della difficoltà di reperimento degli indirizzi, dell’impossibilità di recapito della posta elettronica a taluno dei destinatari, o altro impedimento oggettivo e comprovato.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Stazione Appaltante si riserva di differire, spostare o revocare il presente procedimento di gara, senza alcun diritto dei concorrenti a rimborso spese o quant’altro.</w:t>
      </w:r>
    </w:p>
    <w:p w:rsidR="00914394" w:rsidRDefault="00914394">
      <w:pPr>
        <w:pStyle w:val="Standard"/>
        <w:widowControl w:val="0"/>
        <w:jc w:val="both"/>
        <w:rPr>
          <w:rStyle w:val="Nessuno"/>
          <w:rFonts w:ascii="Arial" w:eastAsia="Arial" w:hAnsi="Arial" w:cs="Arial"/>
          <w:i/>
          <w:iCs/>
          <w:sz w:val="22"/>
          <w:szCs w:val="22"/>
        </w:rPr>
      </w:pPr>
    </w:p>
    <w:p w:rsidR="00914394" w:rsidRDefault="00000000">
      <w:pPr>
        <w:pStyle w:val="Standard"/>
        <w:tabs>
          <w:tab w:val="center" w:pos="1985"/>
          <w:tab w:val="center" w:pos="7655"/>
        </w:tabs>
        <w:rPr>
          <w:rStyle w:val="Nessuno"/>
          <w:rFonts w:ascii="Arial" w:eastAsia="Arial" w:hAnsi="Arial" w:cs="Arial"/>
          <w:sz w:val="22"/>
          <w:szCs w:val="22"/>
        </w:rPr>
      </w:pPr>
      <w:r>
        <w:rPr>
          <w:rStyle w:val="Nessuno"/>
          <w:rFonts w:ascii="Arial" w:eastAsia="Arial" w:hAnsi="Arial" w:cs="Arial"/>
          <w:sz w:val="22"/>
          <w:szCs w:val="22"/>
        </w:rPr>
        <w:tab/>
      </w:r>
      <w:r>
        <w:rPr>
          <w:rStyle w:val="Nessuno"/>
          <w:rFonts w:ascii="Arial" w:eastAsia="Arial" w:hAnsi="Arial" w:cs="Arial"/>
          <w:sz w:val="22"/>
          <w:szCs w:val="22"/>
        </w:rPr>
        <w:tab/>
        <w:t>IL R.U.P.</w:t>
      </w:r>
      <w:r>
        <w:rPr>
          <w:rStyle w:val="Nessuno"/>
          <w:rFonts w:ascii="Arial" w:eastAsia="Arial" w:hAnsi="Arial" w:cs="Arial"/>
          <w:sz w:val="22"/>
          <w:szCs w:val="22"/>
        </w:rPr>
        <w:tab/>
      </w:r>
    </w:p>
    <w:p w:rsidR="00914394" w:rsidRDefault="00000000">
      <w:pPr>
        <w:pStyle w:val="Standard"/>
        <w:tabs>
          <w:tab w:val="center" w:pos="1985"/>
          <w:tab w:val="center" w:pos="7655"/>
        </w:tabs>
      </w:pPr>
      <w:r>
        <w:rPr>
          <w:rStyle w:val="Nessuno"/>
          <w:rFonts w:ascii="Arial" w:eastAsia="Arial" w:hAnsi="Arial" w:cs="Arial"/>
          <w:sz w:val="22"/>
          <w:szCs w:val="22"/>
        </w:rPr>
        <w:tab/>
      </w:r>
      <w:r>
        <w:rPr>
          <w:rStyle w:val="Nessuno"/>
          <w:rFonts w:ascii="Arial" w:eastAsia="Arial" w:hAnsi="Arial" w:cs="Arial"/>
          <w:sz w:val="22"/>
          <w:szCs w:val="22"/>
        </w:rPr>
        <w:tab/>
        <w:t>Giovanni Dimauro</w:t>
      </w:r>
    </w:p>
    <w:sectPr w:rsidR="00914394">
      <w:footerReference w:type="default" r:id="rId31"/>
      <w:pgSz w:w="11900" w:h="16840"/>
      <w:pgMar w:top="96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469DC" w:rsidRDefault="006469DC">
      <w:r>
        <w:separator/>
      </w:r>
    </w:p>
  </w:endnote>
  <w:endnote w:type="continuationSeparator" w:id="0">
    <w:p w:rsidR="006469DC" w:rsidRDefault="0064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4394" w:rsidRDefault="00000000">
    <w:pPr>
      <w:pStyle w:val="Pidipagina"/>
      <w:jc w:val="center"/>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F52712">
      <w:rPr>
        <w:rFonts w:ascii="Arial" w:hAnsi="Arial"/>
        <w:noProof/>
        <w:sz w:val="20"/>
        <w:szCs w:val="20"/>
      </w:rPr>
      <w:t>1</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469DC" w:rsidRDefault="006469DC">
      <w:r>
        <w:separator/>
      </w:r>
    </w:p>
  </w:footnote>
  <w:footnote w:type="continuationSeparator" w:id="0">
    <w:p w:rsidR="006469DC" w:rsidRDefault="00646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368D"/>
    <w:multiLevelType w:val="hybridMultilevel"/>
    <w:tmpl w:val="0DB078CC"/>
    <w:numStyleLink w:val="Stileimportato14"/>
  </w:abstractNum>
  <w:abstractNum w:abstractNumId="1" w15:restartNumberingAfterBreak="0">
    <w:nsid w:val="00A9099A"/>
    <w:multiLevelType w:val="hybridMultilevel"/>
    <w:tmpl w:val="31DC1072"/>
    <w:numStyleLink w:val="WW8Num25"/>
  </w:abstractNum>
  <w:abstractNum w:abstractNumId="2" w15:restartNumberingAfterBreak="0">
    <w:nsid w:val="02EF4AA1"/>
    <w:multiLevelType w:val="hybridMultilevel"/>
    <w:tmpl w:val="70B2F3F0"/>
    <w:styleLink w:val="Stileimportato4"/>
    <w:lvl w:ilvl="0" w:tplc="DE9A5C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AA40C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E6AAB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D7C3E5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AAE919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B649E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B905B4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2029DC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2048B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04305CAA"/>
    <w:multiLevelType w:val="hybridMultilevel"/>
    <w:tmpl w:val="82DC9FBC"/>
    <w:styleLink w:val="Stileimportato1"/>
    <w:lvl w:ilvl="0" w:tplc="6FBC14C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F436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60DC5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1A79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44A21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66BA8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33E3C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1013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6E40D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361F68"/>
    <w:multiLevelType w:val="hybridMultilevel"/>
    <w:tmpl w:val="377A9A36"/>
    <w:styleLink w:val="Stileimportato33"/>
    <w:lvl w:ilvl="0" w:tplc="9E3CD23A">
      <w:start w:val="1"/>
      <w:numFmt w:val="bullet"/>
      <w:lvlText w:val="-"/>
      <w:lvlJc w:val="left"/>
      <w:pPr>
        <w:tabs>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7CE7EE4">
      <w:start w:val="1"/>
      <w:numFmt w:val="bullet"/>
      <w:lvlText w:val="o"/>
      <w:lvlJc w:val="left"/>
      <w:pPr>
        <w:tabs>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0565DD6">
      <w:start w:val="1"/>
      <w:numFmt w:val="bullet"/>
      <w:lvlText w:val="▪"/>
      <w:lvlJc w:val="left"/>
      <w:pPr>
        <w:tabs>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FFE3276">
      <w:start w:val="1"/>
      <w:numFmt w:val="bullet"/>
      <w:lvlText w:val="•"/>
      <w:lvlJc w:val="left"/>
      <w:pPr>
        <w:tabs>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728A8F2">
      <w:start w:val="1"/>
      <w:numFmt w:val="bullet"/>
      <w:lvlText w:val="o"/>
      <w:lvlJc w:val="left"/>
      <w:pPr>
        <w:tabs>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AC8A3F4">
      <w:start w:val="1"/>
      <w:numFmt w:val="bullet"/>
      <w:lvlText w:val="▪"/>
      <w:lvlJc w:val="left"/>
      <w:pPr>
        <w:tabs>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7F6FDC0">
      <w:start w:val="1"/>
      <w:numFmt w:val="bullet"/>
      <w:lvlText w:val="•"/>
      <w:lvlJc w:val="left"/>
      <w:pPr>
        <w:tabs>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1302CD8">
      <w:start w:val="1"/>
      <w:numFmt w:val="bullet"/>
      <w:lvlText w:val="o"/>
      <w:lvlJc w:val="left"/>
      <w:pPr>
        <w:tabs>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A266B64">
      <w:start w:val="1"/>
      <w:numFmt w:val="bullet"/>
      <w:lvlText w:val="▪"/>
      <w:lvlJc w:val="left"/>
      <w:pPr>
        <w:tabs>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DD84F8F"/>
    <w:multiLevelType w:val="hybridMultilevel"/>
    <w:tmpl w:val="D298C5F2"/>
    <w:lvl w:ilvl="0" w:tplc="7450B238">
      <w:start w:val="1"/>
      <w:numFmt w:val="bullet"/>
      <w:lvlText w:val="-"/>
      <w:lvlJc w:val="left"/>
      <w:pPr>
        <w:ind w:left="7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F28E47E">
      <w:start w:val="1"/>
      <w:numFmt w:val="bullet"/>
      <w:lvlText w:val="o"/>
      <w:lvlJc w:val="left"/>
      <w:pPr>
        <w:ind w:left="14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9384A70">
      <w:start w:val="1"/>
      <w:numFmt w:val="bullet"/>
      <w:lvlText w:val="▪"/>
      <w:lvlJc w:val="left"/>
      <w:pPr>
        <w:ind w:left="21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03E4976">
      <w:start w:val="1"/>
      <w:numFmt w:val="bullet"/>
      <w:lvlText w:val="•"/>
      <w:lvlJc w:val="left"/>
      <w:pPr>
        <w:ind w:left="28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C7A732A">
      <w:start w:val="1"/>
      <w:numFmt w:val="bullet"/>
      <w:lvlText w:val="o"/>
      <w:lvlJc w:val="left"/>
      <w:pPr>
        <w:ind w:left="360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B5E32A6">
      <w:start w:val="1"/>
      <w:numFmt w:val="bullet"/>
      <w:lvlText w:val="▪"/>
      <w:lvlJc w:val="left"/>
      <w:pPr>
        <w:ind w:left="43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A98E816">
      <w:start w:val="1"/>
      <w:numFmt w:val="bullet"/>
      <w:lvlText w:val="•"/>
      <w:lvlJc w:val="left"/>
      <w:pPr>
        <w:ind w:left="50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0D456A8">
      <w:start w:val="1"/>
      <w:numFmt w:val="bullet"/>
      <w:lvlText w:val="o"/>
      <w:lvlJc w:val="left"/>
      <w:pPr>
        <w:ind w:left="57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FAC51CC">
      <w:start w:val="1"/>
      <w:numFmt w:val="bullet"/>
      <w:lvlText w:val="▪"/>
      <w:lvlJc w:val="left"/>
      <w:pPr>
        <w:ind w:left="64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46261F"/>
    <w:multiLevelType w:val="hybridMultilevel"/>
    <w:tmpl w:val="6598ED2E"/>
    <w:numStyleLink w:val="Stileimportato35"/>
  </w:abstractNum>
  <w:abstractNum w:abstractNumId="7" w15:restartNumberingAfterBreak="0">
    <w:nsid w:val="14301C3F"/>
    <w:multiLevelType w:val="hybridMultilevel"/>
    <w:tmpl w:val="3C76DB0A"/>
    <w:numStyleLink w:val="WW8Num5"/>
  </w:abstractNum>
  <w:abstractNum w:abstractNumId="8" w15:restartNumberingAfterBreak="0">
    <w:nsid w:val="1480164A"/>
    <w:multiLevelType w:val="hybridMultilevel"/>
    <w:tmpl w:val="98A0A468"/>
    <w:styleLink w:val="WW8Num8"/>
    <w:lvl w:ilvl="0" w:tplc="AEC06B2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F60F852">
      <w:start w:val="1"/>
      <w:numFmt w:val="bullet"/>
      <w:lvlText w:val="•"/>
      <w:lvlJc w:val="left"/>
      <w:pPr>
        <w:ind w:left="12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20C4AF2">
      <w:start w:val="1"/>
      <w:numFmt w:val="bullet"/>
      <w:lvlText w:val="•"/>
      <w:lvlJc w:val="left"/>
      <w:pPr>
        <w:ind w:left="21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F3EB00E">
      <w:start w:val="1"/>
      <w:numFmt w:val="bullet"/>
      <w:lvlText w:val="•"/>
      <w:lvlJc w:val="left"/>
      <w:pPr>
        <w:ind w:left="304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AAA412A">
      <w:start w:val="1"/>
      <w:numFmt w:val="bullet"/>
      <w:lvlText w:val="•"/>
      <w:lvlJc w:val="left"/>
      <w:pPr>
        <w:ind w:left="395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C78B886">
      <w:start w:val="1"/>
      <w:numFmt w:val="bullet"/>
      <w:lvlText w:val="•"/>
      <w:lvlJc w:val="left"/>
      <w:pPr>
        <w:ind w:left="487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A00E27C">
      <w:start w:val="1"/>
      <w:numFmt w:val="bullet"/>
      <w:lvlText w:val="•"/>
      <w:lvlJc w:val="left"/>
      <w:pPr>
        <w:ind w:left="579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A5498D2">
      <w:start w:val="1"/>
      <w:numFmt w:val="bullet"/>
      <w:lvlText w:val="•"/>
      <w:lvlJc w:val="left"/>
      <w:pPr>
        <w:ind w:left="67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B90BA36">
      <w:start w:val="1"/>
      <w:numFmt w:val="bullet"/>
      <w:lvlText w:val="•"/>
      <w:lvlJc w:val="left"/>
      <w:pPr>
        <w:ind w:left="76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4F76BB1"/>
    <w:multiLevelType w:val="hybridMultilevel"/>
    <w:tmpl w:val="5D004564"/>
    <w:styleLink w:val="WW8Num46"/>
    <w:lvl w:ilvl="0" w:tplc="733E81BA">
      <w:start w:val="1"/>
      <w:numFmt w:val="lowerLetter"/>
      <w:lvlText w:val="%1)"/>
      <w:lvlJc w:val="left"/>
      <w:pPr>
        <w:tabs>
          <w:tab w:val="left" w:pos="1360"/>
          <w:tab w:val="left" w:pos="9132"/>
        </w:tabs>
        <w:ind w:left="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3312A456">
      <w:start w:val="1"/>
      <w:numFmt w:val="decimal"/>
      <w:lvlText w:val="%2."/>
      <w:lvlJc w:val="left"/>
      <w:pPr>
        <w:tabs>
          <w:tab w:val="left" w:pos="1360"/>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A826222">
      <w:start w:val="1"/>
      <w:numFmt w:val="decimal"/>
      <w:lvlText w:val="%3."/>
      <w:lvlJc w:val="left"/>
      <w:pPr>
        <w:tabs>
          <w:tab w:val="left" w:pos="9132"/>
        </w:tabs>
        <w:ind w:left="1360" w:hanging="28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496D7A0">
      <w:start w:val="1"/>
      <w:numFmt w:val="decimal"/>
      <w:lvlText w:val="%4."/>
      <w:lvlJc w:val="left"/>
      <w:pPr>
        <w:tabs>
          <w:tab w:val="left" w:pos="1360"/>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3DE2AE2">
      <w:start w:val="1"/>
      <w:numFmt w:val="decimal"/>
      <w:lvlText w:val="%5."/>
      <w:lvlJc w:val="left"/>
      <w:pPr>
        <w:tabs>
          <w:tab w:val="left" w:pos="1360"/>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2A22D38">
      <w:start w:val="1"/>
      <w:numFmt w:val="decimal"/>
      <w:lvlText w:val="%6."/>
      <w:lvlJc w:val="left"/>
      <w:pPr>
        <w:tabs>
          <w:tab w:val="left" w:pos="1360"/>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768952A">
      <w:start w:val="1"/>
      <w:numFmt w:val="decimal"/>
      <w:lvlText w:val="%7."/>
      <w:lvlJc w:val="left"/>
      <w:pPr>
        <w:tabs>
          <w:tab w:val="left" w:pos="1360"/>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C02A54C">
      <w:start w:val="1"/>
      <w:numFmt w:val="decimal"/>
      <w:lvlText w:val="%8."/>
      <w:lvlJc w:val="left"/>
      <w:pPr>
        <w:tabs>
          <w:tab w:val="left" w:pos="1360"/>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BC6B3C0">
      <w:start w:val="1"/>
      <w:numFmt w:val="decimal"/>
      <w:lvlText w:val="%9."/>
      <w:lvlJc w:val="left"/>
      <w:pPr>
        <w:tabs>
          <w:tab w:val="left" w:pos="1360"/>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77E7987"/>
    <w:multiLevelType w:val="hybridMultilevel"/>
    <w:tmpl w:val="0430E31A"/>
    <w:numStyleLink w:val="WW8Num45"/>
  </w:abstractNum>
  <w:abstractNum w:abstractNumId="11" w15:restartNumberingAfterBreak="0">
    <w:nsid w:val="18C734DA"/>
    <w:multiLevelType w:val="hybridMultilevel"/>
    <w:tmpl w:val="BF408768"/>
    <w:lvl w:ilvl="0" w:tplc="314A4E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5E99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E2B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3AC07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2F07A0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C8C4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5E79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DC46E8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F823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A20705E"/>
    <w:multiLevelType w:val="hybridMultilevel"/>
    <w:tmpl w:val="4354743C"/>
    <w:styleLink w:val="Stileimportato6"/>
    <w:lvl w:ilvl="0" w:tplc="97200E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BBCF1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522B6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5EA8A3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D30F7D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AE85E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500F43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F74D00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68C2E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AB43451"/>
    <w:multiLevelType w:val="hybridMultilevel"/>
    <w:tmpl w:val="8A126828"/>
    <w:lvl w:ilvl="0" w:tplc="23444A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4EA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7A4AC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7C60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8C1F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144FD3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54A6B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907E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4CD94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B747047"/>
    <w:multiLevelType w:val="hybridMultilevel"/>
    <w:tmpl w:val="5BDC78D8"/>
    <w:styleLink w:val="WW8Num4"/>
    <w:lvl w:ilvl="0" w:tplc="6B4EFF62">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A8018B0">
      <w:start w:val="1"/>
      <w:numFmt w:val="bullet"/>
      <w:lvlText w:val="o"/>
      <w:lvlJc w:val="left"/>
      <w:pPr>
        <w:ind w:left="91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521BFA">
      <w:start w:val="1"/>
      <w:numFmt w:val="bullet"/>
      <w:lvlText w:val="▪"/>
      <w:lvlJc w:val="left"/>
      <w:pPr>
        <w:ind w:left="16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022B70">
      <w:start w:val="1"/>
      <w:numFmt w:val="bullet"/>
      <w:lvlText w:val="·"/>
      <w:lvlJc w:val="left"/>
      <w:pPr>
        <w:ind w:left="235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4A134A">
      <w:start w:val="1"/>
      <w:numFmt w:val="bullet"/>
      <w:lvlText w:val="o"/>
      <w:lvlJc w:val="left"/>
      <w:pPr>
        <w:ind w:left="307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6452F2">
      <w:start w:val="1"/>
      <w:numFmt w:val="bullet"/>
      <w:lvlText w:val="▪"/>
      <w:lvlJc w:val="left"/>
      <w:pPr>
        <w:ind w:left="379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70000C">
      <w:start w:val="1"/>
      <w:numFmt w:val="bullet"/>
      <w:lvlText w:val="·"/>
      <w:lvlJc w:val="left"/>
      <w:pPr>
        <w:ind w:left="451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E27DEC">
      <w:start w:val="1"/>
      <w:numFmt w:val="bullet"/>
      <w:lvlText w:val="o"/>
      <w:lvlJc w:val="left"/>
      <w:pPr>
        <w:ind w:left="52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244D84">
      <w:start w:val="1"/>
      <w:numFmt w:val="bullet"/>
      <w:lvlText w:val="▪"/>
      <w:lvlJc w:val="left"/>
      <w:pPr>
        <w:ind w:left="595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C226B76"/>
    <w:multiLevelType w:val="hybridMultilevel"/>
    <w:tmpl w:val="D0AAC53E"/>
    <w:numStyleLink w:val="Stileimportato26"/>
  </w:abstractNum>
  <w:abstractNum w:abstractNumId="16" w15:restartNumberingAfterBreak="0">
    <w:nsid w:val="1CA06323"/>
    <w:multiLevelType w:val="hybridMultilevel"/>
    <w:tmpl w:val="F4D889EA"/>
    <w:styleLink w:val="Stileimportato21"/>
    <w:lvl w:ilvl="0" w:tplc="5A4698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2E8C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54CA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3815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48BE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50B6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A0F8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CCA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14A6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D25556E"/>
    <w:multiLevelType w:val="hybridMultilevel"/>
    <w:tmpl w:val="82125670"/>
    <w:numStyleLink w:val="Stileimportato25"/>
  </w:abstractNum>
  <w:abstractNum w:abstractNumId="18" w15:restartNumberingAfterBreak="0">
    <w:nsid w:val="1F0B251A"/>
    <w:multiLevelType w:val="multilevel"/>
    <w:tmpl w:val="6CB48CB4"/>
    <w:numStyleLink w:val="WW8Num13"/>
  </w:abstractNum>
  <w:abstractNum w:abstractNumId="19" w15:restartNumberingAfterBreak="0">
    <w:nsid w:val="1F7E6ED1"/>
    <w:multiLevelType w:val="hybridMultilevel"/>
    <w:tmpl w:val="DB4A5E60"/>
    <w:numStyleLink w:val="WW8Num16"/>
  </w:abstractNum>
  <w:abstractNum w:abstractNumId="20" w15:restartNumberingAfterBreak="0">
    <w:nsid w:val="20865E15"/>
    <w:multiLevelType w:val="hybridMultilevel"/>
    <w:tmpl w:val="30D023A8"/>
    <w:styleLink w:val="Stileimportato28"/>
    <w:lvl w:ilvl="0" w:tplc="3E6AFCA4">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4245BC">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D8F2E6">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3469166">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DA1E48">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FE6060">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234F2DE">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F8376C">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4652CE">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0B45450"/>
    <w:multiLevelType w:val="hybridMultilevel"/>
    <w:tmpl w:val="B45E1D86"/>
    <w:styleLink w:val="WW8Num52"/>
    <w:lvl w:ilvl="0" w:tplc="0A909D0C">
      <w:start w:val="1"/>
      <w:numFmt w:val="bullet"/>
      <w:lvlText w:val="-"/>
      <w:lvlJc w:val="left"/>
      <w:pPr>
        <w:ind w:left="284"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8A4C70E">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43ECD9C">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128B5B6">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AF0B258">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7987DA6">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37E0990">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6009B34">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BFA4C3C">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15:restartNumberingAfterBreak="0">
    <w:nsid w:val="212F4028"/>
    <w:multiLevelType w:val="hybridMultilevel"/>
    <w:tmpl w:val="9872CC96"/>
    <w:numStyleLink w:val="Stileimportato23"/>
  </w:abstractNum>
  <w:abstractNum w:abstractNumId="23" w15:restartNumberingAfterBreak="0">
    <w:nsid w:val="22C75A1F"/>
    <w:multiLevelType w:val="hybridMultilevel"/>
    <w:tmpl w:val="6602EE3E"/>
    <w:lvl w:ilvl="0" w:tplc="80F0F2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5A7D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36BB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D687B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4EAC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42651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CAE93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4EFF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82C20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3B3534B"/>
    <w:multiLevelType w:val="hybridMultilevel"/>
    <w:tmpl w:val="772E9AD2"/>
    <w:styleLink w:val="Stileimportato27"/>
    <w:lvl w:ilvl="0" w:tplc="FC447F24">
      <w:start w:val="1"/>
      <w:numFmt w:val="lowerRoman"/>
      <w:lvlText w:val="%1."/>
      <w:lvlJc w:val="left"/>
      <w:pPr>
        <w:tabs>
          <w:tab w:val="left" w:pos="9132"/>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7BCD51A">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5A1A7C">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D620BFA">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B8DCA2">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844726">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A242B4">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487496">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0C80A4">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45751FC"/>
    <w:multiLevelType w:val="hybridMultilevel"/>
    <w:tmpl w:val="98A0A468"/>
    <w:numStyleLink w:val="WW8Num8"/>
  </w:abstractNum>
  <w:abstractNum w:abstractNumId="26" w15:restartNumberingAfterBreak="0">
    <w:nsid w:val="26136119"/>
    <w:multiLevelType w:val="hybridMultilevel"/>
    <w:tmpl w:val="3CE8FDA2"/>
    <w:numStyleLink w:val="Stileimportato16"/>
  </w:abstractNum>
  <w:abstractNum w:abstractNumId="27" w15:restartNumberingAfterBreak="0">
    <w:nsid w:val="27191CFA"/>
    <w:multiLevelType w:val="hybridMultilevel"/>
    <w:tmpl w:val="5D004564"/>
    <w:numStyleLink w:val="WW8Num46"/>
  </w:abstractNum>
  <w:abstractNum w:abstractNumId="28" w15:restartNumberingAfterBreak="0">
    <w:nsid w:val="29D756E9"/>
    <w:multiLevelType w:val="hybridMultilevel"/>
    <w:tmpl w:val="2CB21834"/>
    <w:numStyleLink w:val="Stileimportato9"/>
  </w:abstractNum>
  <w:abstractNum w:abstractNumId="29" w15:restartNumberingAfterBreak="0">
    <w:nsid w:val="29F97EE9"/>
    <w:multiLevelType w:val="hybridMultilevel"/>
    <w:tmpl w:val="8D764BEE"/>
    <w:numStyleLink w:val="Stileimportato15"/>
  </w:abstractNum>
  <w:abstractNum w:abstractNumId="30" w15:restartNumberingAfterBreak="0">
    <w:nsid w:val="2AC75691"/>
    <w:multiLevelType w:val="hybridMultilevel"/>
    <w:tmpl w:val="8D764BEE"/>
    <w:styleLink w:val="Stileimportato15"/>
    <w:lvl w:ilvl="0" w:tplc="634E1B7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5668BC">
      <w:start w:val="1"/>
      <w:numFmt w:val="lowerLetter"/>
      <w:lvlText w:val="%2)"/>
      <w:lvlJc w:val="left"/>
      <w:pPr>
        <w:ind w:left="1440" w:hanging="331"/>
      </w:pPr>
      <w:rPr>
        <w:rFonts w:hAnsi="Arial Unicode MS"/>
        <w:caps w:val="0"/>
        <w:smallCaps w:val="0"/>
        <w:strike w:val="0"/>
        <w:dstrike w:val="0"/>
        <w:outline w:val="0"/>
        <w:emboss w:val="0"/>
        <w:imprint w:val="0"/>
        <w:spacing w:val="0"/>
        <w:w w:val="100"/>
        <w:kern w:val="0"/>
        <w:position w:val="0"/>
        <w:highlight w:val="none"/>
        <w:vertAlign w:val="baseline"/>
      </w:rPr>
    </w:lvl>
    <w:lvl w:ilvl="2" w:tplc="5484A65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3477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1A56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9CC33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DB415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2C1C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0AD36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C3F364D"/>
    <w:multiLevelType w:val="hybridMultilevel"/>
    <w:tmpl w:val="AAA03B3A"/>
    <w:styleLink w:val="Stileimportato17"/>
    <w:lvl w:ilvl="0" w:tplc="7B6C539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8019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78040C">
      <w:start w:val="1"/>
      <w:numFmt w:val="lowerLetter"/>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E4DD12">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7E71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A26CB6">
      <w:start w:val="1"/>
      <w:numFmt w:val="lowerLetter"/>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0500BD4">
      <w:start w:val="1"/>
      <w:numFmt w:val="lowerLetter"/>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2A3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E444A48">
      <w:start w:val="1"/>
      <w:numFmt w:val="lowerLetter"/>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D456812"/>
    <w:multiLevelType w:val="hybridMultilevel"/>
    <w:tmpl w:val="9872CC96"/>
    <w:styleLink w:val="Stileimportato23"/>
    <w:lvl w:ilvl="0" w:tplc="288AB3F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C4EBCA">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2D080E0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4FACD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C45B3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5CDF7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C861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F202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D228B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E831280"/>
    <w:multiLevelType w:val="hybridMultilevel"/>
    <w:tmpl w:val="1B2E2C12"/>
    <w:numStyleLink w:val="Stileimportato13"/>
  </w:abstractNum>
  <w:abstractNum w:abstractNumId="34" w15:restartNumberingAfterBreak="0">
    <w:nsid w:val="2EAF3690"/>
    <w:multiLevelType w:val="hybridMultilevel"/>
    <w:tmpl w:val="4D60ABCA"/>
    <w:numStyleLink w:val="Stileimportato5"/>
  </w:abstractNum>
  <w:abstractNum w:abstractNumId="35" w15:restartNumberingAfterBreak="0">
    <w:nsid w:val="2EBF2175"/>
    <w:multiLevelType w:val="hybridMultilevel"/>
    <w:tmpl w:val="5A6EBC82"/>
    <w:lvl w:ilvl="0" w:tplc="6A72F6F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1C90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E4022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148A00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28BD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2E7F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4C63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C68E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96293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0526CA7"/>
    <w:multiLevelType w:val="hybridMultilevel"/>
    <w:tmpl w:val="70B2F3F0"/>
    <w:numStyleLink w:val="Stileimportato4"/>
  </w:abstractNum>
  <w:abstractNum w:abstractNumId="37" w15:restartNumberingAfterBreak="0">
    <w:nsid w:val="31524E2B"/>
    <w:multiLevelType w:val="hybridMultilevel"/>
    <w:tmpl w:val="120803DC"/>
    <w:styleLink w:val="Stileimportato130"/>
    <w:lvl w:ilvl="0" w:tplc="7DB067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66F8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8468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58AF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4E6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DE25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50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6018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72C5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1D317C1"/>
    <w:multiLevelType w:val="hybridMultilevel"/>
    <w:tmpl w:val="16B23094"/>
    <w:styleLink w:val="Stileimportato24"/>
    <w:lvl w:ilvl="0" w:tplc="FC0AD6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E265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6002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1C362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1052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815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128F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560D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145E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3D23ED9"/>
    <w:multiLevelType w:val="hybridMultilevel"/>
    <w:tmpl w:val="E6A2703C"/>
    <w:numStyleLink w:val="WW8Num51"/>
  </w:abstractNum>
  <w:abstractNum w:abstractNumId="40" w15:restartNumberingAfterBreak="0">
    <w:nsid w:val="33D24373"/>
    <w:multiLevelType w:val="hybridMultilevel"/>
    <w:tmpl w:val="120803DC"/>
    <w:numStyleLink w:val="Stileimportato130"/>
  </w:abstractNum>
  <w:abstractNum w:abstractNumId="41" w15:restartNumberingAfterBreak="0">
    <w:nsid w:val="3417015B"/>
    <w:multiLevelType w:val="hybridMultilevel"/>
    <w:tmpl w:val="3B14D422"/>
    <w:numStyleLink w:val="Stileimportato22"/>
  </w:abstractNum>
  <w:abstractNum w:abstractNumId="42" w15:restartNumberingAfterBreak="0">
    <w:nsid w:val="34C2377B"/>
    <w:multiLevelType w:val="hybridMultilevel"/>
    <w:tmpl w:val="4C944956"/>
    <w:styleLink w:val="Stileimportato34"/>
    <w:lvl w:ilvl="0" w:tplc="BDD2A59E">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9A5150">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AA222">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BA6D138">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E6F994">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945A26">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1EF4CA">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22EDAA">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C8796">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359C5C66"/>
    <w:multiLevelType w:val="hybridMultilevel"/>
    <w:tmpl w:val="203C0462"/>
    <w:numStyleLink w:val="Stileimportato2"/>
  </w:abstractNum>
  <w:abstractNum w:abstractNumId="44" w15:restartNumberingAfterBreak="0">
    <w:nsid w:val="38E02587"/>
    <w:multiLevelType w:val="hybridMultilevel"/>
    <w:tmpl w:val="C50C11FE"/>
    <w:numStyleLink w:val="Stileimportato18"/>
  </w:abstractNum>
  <w:abstractNum w:abstractNumId="45" w15:restartNumberingAfterBreak="0">
    <w:nsid w:val="3B9E6A56"/>
    <w:multiLevelType w:val="hybridMultilevel"/>
    <w:tmpl w:val="16B23094"/>
    <w:numStyleLink w:val="Stileimportato24"/>
  </w:abstractNum>
  <w:abstractNum w:abstractNumId="46" w15:restartNumberingAfterBreak="0">
    <w:nsid w:val="3C1A726A"/>
    <w:multiLevelType w:val="hybridMultilevel"/>
    <w:tmpl w:val="7FD236EA"/>
    <w:numStyleLink w:val="WW8Num22"/>
  </w:abstractNum>
  <w:abstractNum w:abstractNumId="47" w15:restartNumberingAfterBreak="0">
    <w:nsid w:val="3C7644C7"/>
    <w:multiLevelType w:val="hybridMultilevel"/>
    <w:tmpl w:val="83F6F2CE"/>
    <w:numStyleLink w:val="WW8Num18"/>
  </w:abstractNum>
  <w:abstractNum w:abstractNumId="48" w15:restartNumberingAfterBreak="0">
    <w:nsid w:val="413E1F7A"/>
    <w:multiLevelType w:val="hybridMultilevel"/>
    <w:tmpl w:val="723CC4A4"/>
    <w:styleLink w:val="WW8Num3"/>
    <w:lvl w:ilvl="0" w:tplc="58F4E316">
      <w:start w:val="1"/>
      <w:numFmt w:val="bullet"/>
      <w:lvlText w:val="-"/>
      <w:lvlJc w:val="left"/>
      <w:pPr>
        <w:ind w:left="7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585E9210">
      <w:start w:val="1"/>
      <w:numFmt w:val="bullet"/>
      <w:lvlText w:val="−"/>
      <w:lvlJc w:val="left"/>
      <w:pPr>
        <w:ind w:left="14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0D76E0B8">
      <w:start w:val="1"/>
      <w:numFmt w:val="bullet"/>
      <w:lvlText w:val="▪"/>
      <w:lvlJc w:val="left"/>
      <w:pPr>
        <w:ind w:left="21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D8C368E">
      <w:start w:val="1"/>
      <w:numFmt w:val="bullet"/>
      <w:lvlText w:val="•"/>
      <w:lvlJc w:val="left"/>
      <w:pPr>
        <w:ind w:left="28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E8A46B8">
      <w:start w:val="1"/>
      <w:numFmt w:val="bullet"/>
      <w:lvlText w:val="o"/>
      <w:lvlJc w:val="left"/>
      <w:pPr>
        <w:ind w:left="35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64864B6">
      <w:start w:val="1"/>
      <w:numFmt w:val="bullet"/>
      <w:lvlText w:val="▪"/>
      <w:lvlJc w:val="left"/>
      <w:pPr>
        <w:ind w:left="43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F240396">
      <w:start w:val="1"/>
      <w:numFmt w:val="bullet"/>
      <w:lvlText w:val="•"/>
      <w:lvlJc w:val="left"/>
      <w:pPr>
        <w:ind w:left="50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2466BB8">
      <w:start w:val="1"/>
      <w:numFmt w:val="bullet"/>
      <w:lvlText w:val="o"/>
      <w:lvlJc w:val="left"/>
      <w:pPr>
        <w:ind w:left="57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A8A87C8">
      <w:start w:val="1"/>
      <w:numFmt w:val="bullet"/>
      <w:lvlText w:val="▪"/>
      <w:lvlJc w:val="left"/>
      <w:pPr>
        <w:ind w:left="64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15F1DAC"/>
    <w:multiLevelType w:val="hybridMultilevel"/>
    <w:tmpl w:val="64C67DE8"/>
    <w:numStyleLink w:val="Stileimportato8"/>
  </w:abstractNum>
  <w:abstractNum w:abstractNumId="50" w15:restartNumberingAfterBreak="0">
    <w:nsid w:val="43402B73"/>
    <w:multiLevelType w:val="hybridMultilevel"/>
    <w:tmpl w:val="2CB21834"/>
    <w:styleLink w:val="Stileimportato9"/>
    <w:lvl w:ilvl="0" w:tplc="CED44C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4A2D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8BCF33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4AA87A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DDA963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18A1C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246896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E8207D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20C346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3F313CD"/>
    <w:multiLevelType w:val="hybridMultilevel"/>
    <w:tmpl w:val="82125670"/>
    <w:styleLink w:val="Stileimportato25"/>
    <w:lvl w:ilvl="0" w:tplc="9048BA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BC97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1AC4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2022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7F2B2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8029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F68A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0021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06C6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6B54FF3"/>
    <w:multiLevelType w:val="hybridMultilevel"/>
    <w:tmpl w:val="CD502516"/>
    <w:numStyleLink w:val="Stileimportato20"/>
  </w:abstractNum>
  <w:abstractNum w:abstractNumId="53" w15:restartNumberingAfterBreak="0">
    <w:nsid w:val="48B459E9"/>
    <w:multiLevelType w:val="hybridMultilevel"/>
    <w:tmpl w:val="31DC1072"/>
    <w:styleLink w:val="WW8Num25"/>
    <w:lvl w:ilvl="0" w:tplc="2128791C">
      <w:start w:val="1"/>
      <w:numFmt w:val="lowerLetter"/>
      <w:lvlText w:val="%1)"/>
      <w:lvlJc w:val="left"/>
      <w:pPr>
        <w:tabs>
          <w:tab w:val="left" w:pos="680"/>
        </w:tabs>
        <w:ind w:left="360" w:hanging="360"/>
      </w:pPr>
      <w:rPr>
        <w:rFonts w:ascii="Arial" w:eastAsia="Arial" w:hAnsi="Arial" w:cs="Arial"/>
        <w:b w:val="0"/>
        <w:bCs w:val="0"/>
        <w:i/>
        <w:iCs/>
        <w:caps w:val="0"/>
        <w:smallCaps w:val="0"/>
        <w:strike w:val="0"/>
        <w:dstrike w:val="0"/>
        <w:outline w:val="0"/>
        <w:emboss w:val="0"/>
        <w:imprint w:val="0"/>
        <w:spacing w:val="0"/>
        <w:w w:val="100"/>
        <w:kern w:val="0"/>
        <w:position w:val="0"/>
        <w:sz w:val="20"/>
        <w:szCs w:val="20"/>
        <w:highlight w:val="none"/>
        <w:vertAlign w:val="baseline"/>
      </w:rPr>
    </w:lvl>
    <w:lvl w:ilvl="1" w:tplc="B09AABBE">
      <w:start w:val="1"/>
      <w:numFmt w:val="decimal"/>
      <w:lvlText w:val="%2."/>
      <w:lvlJc w:val="left"/>
      <w:pPr>
        <w:tabs>
          <w:tab w:val="left" w:pos="680"/>
        </w:tabs>
        <w:ind w:left="14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2" w:tplc="4808E44A">
      <w:start w:val="1"/>
      <w:numFmt w:val="decimal"/>
      <w:lvlText w:val="%3."/>
      <w:lvlJc w:val="left"/>
      <w:pPr>
        <w:tabs>
          <w:tab w:val="left" w:pos="680"/>
        </w:tabs>
        <w:ind w:left="17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3" w:tplc="722ED574">
      <w:start w:val="1"/>
      <w:numFmt w:val="decimal"/>
      <w:lvlText w:val="%4."/>
      <w:lvlJc w:val="left"/>
      <w:pPr>
        <w:tabs>
          <w:tab w:val="left" w:pos="680"/>
        </w:tabs>
        <w:ind w:left="21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4" w:tplc="483CB138">
      <w:start w:val="1"/>
      <w:numFmt w:val="decimal"/>
      <w:lvlText w:val="%5."/>
      <w:lvlJc w:val="left"/>
      <w:pPr>
        <w:tabs>
          <w:tab w:val="left" w:pos="680"/>
        </w:tabs>
        <w:ind w:left="248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5" w:tplc="23468AEA">
      <w:start w:val="1"/>
      <w:numFmt w:val="decimal"/>
      <w:lvlText w:val="%6."/>
      <w:lvlJc w:val="left"/>
      <w:pPr>
        <w:tabs>
          <w:tab w:val="left" w:pos="680"/>
        </w:tabs>
        <w:ind w:left="284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6" w:tplc="9628F3C0">
      <w:start w:val="1"/>
      <w:numFmt w:val="decimal"/>
      <w:lvlText w:val="%7."/>
      <w:lvlJc w:val="left"/>
      <w:pPr>
        <w:tabs>
          <w:tab w:val="left" w:pos="680"/>
        </w:tabs>
        <w:ind w:left="32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7" w:tplc="9DAE8412">
      <w:start w:val="1"/>
      <w:numFmt w:val="decimal"/>
      <w:lvlText w:val="%8."/>
      <w:lvlJc w:val="left"/>
      <w:pPr>
        <w:tabs>
          <w:tab w:val="left" w:pos="680"/>
        </w:tabs>
        <w:ind w:left="35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8" w:tplc="2548C6C2">
      <w:start w:val="1"/>
      <w:numFmt w:val="decimal"/>
      <w:lvlText w:val="%9."/>
      <w:lvlJc w:val="left"/>
      <w:pPr>
        <w:tabs>
          <w:tab w:val="left" w:pos="680"/>
        </w:tabs>
        <w:ind w:left="39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A3D54AC"/>
    <w:multiLevelType w:val="hybridMultilevel"/>
    <w:tmpl w:val="723CC4A4"/>
    <w:numStyleLink w:val="WW8Num3"/>
  </w:abstractNum>
  <w:abstractNum w:abstractNumId="55" w15:restartNumberingAfterBreak="0">
    <w:nsid w:val="4A9F6D9D"/>
    <w:multiLevelType w:val="hybridMultilevel"/>
    <w:tmpl w:val="DB4A5E60"/>
    <w:styleLink w:val="WW8Num16"/>
    <w:lvl w:ilvl="0" w:tplc="DB8E4E8A">
      <w:start w:val="1"/>
      <w:numFmt w:val="lowerLetter"/>
      <w:lvlText w:val="%1)"/>
      <w:lvlJc w:val="left"/>
      <w:pPr>
        <w:ind w:left="426"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F36E458">
      <w:start w:val="1"/>
      <w:numFmt w:val="lowerLetter"/>
      <w:lvlText w:val="%2)"/>
      <w:lvlJc w:val="left"/>
      <w:pPr>
        <w:ind w:left="10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FC875B4">
      <w:start w:val="1"/>
      <w:numFmt w:val="lowerLetter"/>
      <w:lvlText w:val="%3)"/>
      <w:lvlJc w:val="left"/>
      <w:pPr>
        <w:ind w:left="17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CFE8250">
      <w:start w:val="1"/>
      <w:numFmt w:val="lowerLetter"/>
      <w:lvlText w:val="%4)"/>
      <w:lvlJc w:val="left"/>
      <w:pPr>
        <w:ind w:left="24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A1C22B0">
      <w:start w:val="1"/>
      <w:numFmt w:val="lowerLetter"/>
      <w:lvlText w:val="%5)"/>
      <w:lvlJc w:val="left"/>
      <w:pPr>
        <w:ind w:left="316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C82BDE">
      <w:start w:val="1"/>
      <w:numFmt w:val="lowerLetter"/>
      <w:lvlText w:val="%6)"/>
      <w:lvlJc w:val="left"/>
      <w:pPr>
        <w:ind w:left="38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67403F6">
      <w:start w:val="1"/>
      <w:numFmt w:val="lowerLetter"/>
      <w:lvlText w:val="%7)"/>
      <w:lvlJc w:val="left"/>
      <w:pPr>
        <w:ind w:left="46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560EBCA">
      <w:start w:val="1"/>
      <w:numFmt w:val="lowerLetter"/>
      <w:lvlText w:val="%8)"/>
      <w:lvlJc w:val="left"/>
      <w:pPr>
        <w:ind w:left="53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E8E4072">
      <w:start w:val="1"/>
      <w:numFmt w:val="lowerLetter"/>
      <w:lvlText w:val="%9)"/>
      <w:lvlJc w:val="left"/>
      <w:pPr>
        <w:ind w:left="60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6" w15:restartNumberingAfterBreak="0">
    <w:nsid w:val="4B4F5A85"/>
    <w:multiLevelType w:val="hybridMultilevel"/>
    <w:tmpl w:val="377A9A36"/>
    <w:numStyleLink w:val="Stileimportato33"/>
  </w:abstractNum>
  <w:abstractNum w:abstractNumId="57" w15:restartNumberingAfterBreak="0">
    <w:nsid w:val="4C785543"/>
    <w:multiLevelType w:val="hybridMultilevel"/>
    <w:tmpl w:val="64966D78"/>
    <w:styleLink w:val="WW8Num47"/>
    <w:lvl w:ilvl="0" w:tplc="1110F0B4">
      <w:start w:val="1"/>
      <w:numFmt w:val="lowerLetter"/>
      <w:lvlText w:val="%1)"/>
      <w:lvlJc w:val="left"/>
      <w:pPr>
        <w:ind w:left="12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D69E0FE2">
      <w:start w:val="1"/>
      <w:numFmt w:val="decimal"/>
      <w:lvlText w:val="%2."/>
      <w:lvlJc w:val="left"/>
      <w:pPr>
        <w:ind w:left="13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2F001EE">
      <w:start w:val="1"/>
      <w:numFmt w:val="decimal"/>
      <w:lvlText w:val="%3."/>
      <w:lvlJc w:val="left"/>
      <w:pPr>
        <w:ind w:left="16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CA21394">
      <w:start w:val="1"/>
      <w:numFmt w:val="decimal"/>
      <w:lvlText w:val="%4."/>
      <w:lvlJc w:val="left"/>
      <w:pPr>
        <w:ind w:left="20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A643BB6">
      <w:start w:val="1"/>
      <w:numFmt w:val="decimal"/>
      <w:lvlText w:val="%5."/>
      <w:lvlJc w:val="left"/>
      <w:pPr>
        <w:ind w:left="241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6863A2">
      <w:start w:val="1"/>
      <w:numFmt w:val="decimal"/>
      <w:lvlText w:val="%6."/>
      <w:lvlJc w:val="left"/>
      <w:pPr>
        <w:ind w:left="27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8666AC2">
      <w:start w:val="1"/>
      <w:numFmt w:val="decimal"/>
      <w:lvlText w:val="%7."/>
      <w:lvlJc w:val="left"/>
      <w:pPr>
        <w:ind w:left="31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062A58">
      <w:start w:val="1"/>
      <w:numFmt w:val="decimal"/>
      <w:lvlText w:val="%8."/>
      <w:lvlJc w:val="left"/>
      <w:pPr>
        <w:ind w:left="34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92AFE5E">
      <w:start w:val="1"/>
      <w:numFmt w:val="decimal"/>
      <w:lvlText w:val="%9."/>
      <w:lvlJc w:val="left"/>
      <w:pPr>
        <w:ind w:left="38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4E170599"/>
    <w:multiLevelType w:val="hybridMultilevel"/>
    <w:tmpl w:val="E6A2703C"/>
    <w:styleLink w:val="WW8Num51"/>
    <w:lvl w:ilvl="0" w:tplc="33B4CACA">
      <w:start w:val="1"/>
      <w:numFmt w:val="bullet"/>
      <w:lvlText w:val="·"/>
      <w:lvlJc w:val="left"/>
      <w:pPr>
        <w:tabs>
          <w:tab w:val="left" w:leader="dot" w:pos="337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FC640B6">
      <w:start w:val="1"/>
      <w:numFmt w:val="bullet"/>
      <w:lvlText w:val="o"/>
      <w:lvlJc w:val="left"/>
      <w:pPr>
        <w:tabs>
          <w:tab w:val="left" w:leader="dot" w:pos="337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6CDC56">
      <w:start w:val="1"/>
      <w:numFmt w:val="bullet"/>
      <w:lvlText w:val="▪"/>
      <w:lvlJc w:val="left"/>
      <w:pPr>
        <w:tabs>
          <w:tab w:val="left" w:leader="dot" w:pos="337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1EBE34">
      <w:start w:val="1"/>
      <w:numFmt w:val="bullet"/>
      <w:lvlText w:val="·"/>
      <w:lvlJc w:val="left"/>
      <w:pPr>
        <w:tabs>
          <w:tab w:val="left" w:leader="dot" w:pos="337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E4CD3F4">
      <w:start w:val="1"/>
      <w:numFmt w:val="bullet"/>
      <w:suff w:val="nothing"/>
      <w:lvlText w:val="o"/>
      <w:lvlJc w:val="left"/>
      <w:pPr>
        <w:tabs>
          <w:tab w:val="left" w:leader="dot" w:pos="3378"/>
        </w:tabs>
        <w:ind w:left="3362" w:hanging="1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9469A0">
      <w:start w:val="1"/>
      <w:numFmt w:val="bullet"/>
      <w:lvlText w:val="▪"/>
      <w:lvlJc w:val="left"/>
      <w:pPr>
        <w:tabs>
          <w:tab w:val="left" w:leader="dot" w:pos="337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2E0282">
      <w:start w:val="1"/>
      <w:numFmt w:val="bullet"/>
      <w:lvlText w:val="·"/>
      <w:lvlJc w:val="left"/>
      <w:pPr>
        <w:tabs>
          <w:tab w:val="left" w:leader="dot" w:pos="337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6569B4E">
      <w:start w:val="1"/>
      <w:numFmt w:val="bullet"/>
      <w:lvlText w:val="o"/>
      <w:lvlJc w:val="left"/>
      <w:pPr>
        <w:tabs>
          <w:tab w:val="left" w:leader="dot" w:pos="337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6E0EC6">
      <w:start w:val="1"/>
      <w:numFmt w:val="bullet"/>
      <w:lvlText w:val="▪"/>
      <w:lvlJc w:val="left"/>
      <w:pPr>
        <w:tabs>
          <w:tab w:val="left" w:leader="dot" w:pos="337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E9E420D"/>
    <w:multiLevelType w:val="hybridMultilevel"/>
    <w:tmpl w:val="798A1CE8"/>
    <w:styleLink w:val="Stileimportato10"/>
    <w:lvl w:ilvl="0" w:tplc="740460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6F8D0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E8E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B272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6883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F02A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445D9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B8C0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C285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FB640F8"/>
    <w:multiLevelType w:val="hybridMultilevel"/>
    <w:tmpl w:val="30D023A8"/>
    <w:numStyleLink w:val="Stileimportato28"/>
  </w:abstractNum>
  <w:abstractNum w:abstractNumId="61" w15:restartNumberingAfterBreak="0">
    <w:nsid w:val="51E90D79"/>
    <w:multiLevelType w:val="hybridMultilevel"/>
    <w:tmpl w:val="3CE8FDA2"/>
    <w:styleLink w:val="Stileimportato16"/>
    <w:lvl w:ilvl="0" w:tplc="BF469B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68633C4">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B2AC5F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1D2D18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3BA494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3B4B00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60AD3B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3E03C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4BC347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52E31D6F"/>
    <w:multiLevelType w:val="hybridMultilevel"/>
    <w:tmpl w:val="4354743C"/>
    <w:numStyleLink w:val="Stileimportato6"/>
  </w:abstractNum>
  <w:abstractNum w:abstractNumId="63" w15:restartNumberingAfterBreak="0">
    <w:nsid w:val="5469797F"/>
    <w:multiLevelType w:val="hybridMultilevel"/>
    <w:tmpl w:val="8500E9F0"/>
    <w:styleLink w:val="WW8Num9"/>
    <w:lvl w:ilvl="0" w:tplc="5184B2B4">
      <w:start w:val="1"/>
      <w:numFmt w:val="bullet"/>
      <w:lvlText w:val="-"/>
      <w:lvlJc w:val="left"/>
      <w:pPr>
        <w:ind w:left="34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4FD02F5E">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A736357A">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0A76C8E0">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E7EE244C">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DB6C52B2">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E1D08FB6">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C0A85CFE">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DB7E20F8">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64" w15:restartNumberingAfterBreak="0">
    <w:nsid w:val="57FD609E"/>
    <w:multiLevelType w:val="hybridMultilevel"/>
    <w:tmpl w:val="A49A4230"/>
    <w:styleLink w:val="Stileimportato3"/>
    <w:lvl w:ilvl="0" w:tplc="A836B2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6F659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12670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CDE379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D226CB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786FC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2F482A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DA2ACC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33A7E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5" w15:restartNumberingAfterBreak="0">
    <w:nsid w:val="5AD600AD"/>
    <w:multiLevelType w:val="hybridMultilevel"/>
    <w:tmpl w:val="F4D889EA"/>
    <w:numStyleLink w:val="Stileimportato21"/>
  </w:abstractNum>
  <w:abstractNum w:abstractNumId="66" w15:restartNumberingAfterBreak="0">
    <w:nsid w:val="5B341F51"/>
    <w:multiLevelType w:val="hybridMultilevel"/>
    <w:tmpl w:val="82DC9FBC"/>
    <w:numStyleLink w:val="Stileimportato1"/>
  </w:abstractNum>
  <w:abstractNum w:abstractNumId="67" w15:restartNumberingAfterBreak="0">
    <w:nsid w:val="5E245390"/>
    <w:multiLevelType w:val="hybridMultilevel"/>
    <w:tmpl w:val="64966D78"/>
    <w:numStyleLink w:val="WW8Num47"/>
  </w:abstractNum>
  <w:abstractNum w:abstractNumId="68" w15:restartNumberingAfterBreak="0">
    <w:nsid w:val="5E425A6D"/>
    <w:multiLevelType w:val="hybridMultilevel"/>
    <w:tmpl w:val="9CCEF3D2"/>
    <w:lvl w:ilvl="0" w:tplc="495EF31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F8A51D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3A00C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B74E0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3C9C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9DE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75830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D469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3C873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F312B41"/>
    <w:multiLevelType w:val="hybridMultilevel"/>
    <w:tmpl w:val="D8108710"/>
    <w:numStyleLink w:val="Stileimportato12"/>
  </w:abstractNum>
  <w:abstractNum w:abstractNumId="70" w15:restartNumberingAfterBreak="0">
    <w:nsid w:val="5F655F4C"/>
    <w:multiLevelType w:val="hybridMultilevel"/>
    <w:tmpl w:val="4D60ABCA"/>
    <w:styleLink w:val="Stileimportato5"/>
    <w:lvl w:ilvl="0" w:tplc="1320EF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4CA3D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A8ED8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8D8AA0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F5E907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6588F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23C99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CD620F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4422E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1" w15:restartNumberingAfterBreak="0">
    <w:nsid w:val="5F896514"/>
    <w:multiLevelType w:val="hybridMultilevel"/>
    <w:tmpl w:val="F814AF60"/>
    <w:lvl w:ilvl="0" w:tplc="6AC461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B8EF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5C9BC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E6E9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1C48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DE0B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83E9B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3ECF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6601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0AB430D"/>
    <w:multiLevelType w:val="hybridMultilevel"/>
    <w:tmpl w:val="3B14D422"/>
    <w:styleLink w:val="Stileimportato22"/>
    <w:lvl w:ilvl="0" w:tplc="B24C7B0E">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304B02">
      <w:start w:val="1"/>
      <w:numFmt w:val="bullet"/>
      <w:lvlText w:val="o"/>
      <w:lvlJc w:val="left"/>
      <w:pPr>
        <w:tabs>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80DF32">
      <w:start w:val="1"/>
      <w:numFmt w:val="bullet"/>
      <w:lvlText w:val="▪"/>
      <w:lvlJc w:val="left"/>
      <w:pPr>
        <w:tabs>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A830B4">
      <w:start w:val="1"/>
      <w:numFmt w:val="bullet"/>
      <w:lvlText w:val="·"/>
      <w:lvlJc w:val="left"/>
      <w:pPr>
        <w:tabs>
          <w:tab w:val="left" w:pos="9132"/>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1280DC">
      <w:start w:val="1"/>
      <w:numFmt w:val="bullet"/>
      <w:lvlText w:val="o"/>
      <w:lvlJc w:val="left"/>
      <w:pPr>
        <w:tabs>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04684A">
      <w:start w:val="1"/>
      <w:numFmt w:val="bullet"/>
      <w:lvlText w:val="▪"/>
      <w:lvlJc w:val="left"/>
      <w:pPr>
        <w:tabs>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C045B84">
      <w:start w:val="1"/>
      <w:numFmt w:val="bullet"/>
      <w:lvlText w:val="·"/>
      <w:lvlJc w:val="left"/>
      <w:pPr>
        <w:tabs>
          <w:tab w:val="left" w:pos="9132"/>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96D248">
      <w:start w:val="1"/>
      <w:numFmt w:val="bullet"/>
      <w:lvlText w:val="o"/>
      <w:lvlJc w:val="left"/>
      <w:pPr>
        <w:tabs>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6ABD34">
      <w:start w:val="1"/>
      <w:numFmt w:val="bullet"/>
      <w:lvlText w:val="▪"/>
      <w:lvlJc w:val="left"/>
      <w:pPr>
        <w:tabs>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64E45A44"/>
    <w:multiLevelType w:val="hybridMultilevel"/>
    <w:tmpl w:val="B45E1D86"/>
    <w:numStyleLink w:val="WW8Num52"/>
  </w:abstractNum>
  <w:abstractNum w:abstractNumId="74" w15:restartNumberingAfterBreak="0">
    <w:nsid w:val="65F81E98"/>
    <w:multiLevelType w:val="hybridMultilevel"/>
    <w:tmpl w:val="D0AAC53E"/>
    <w:styleLink w:val="Stileimportato26"/>
    <w:lvl w:ilvl="0" w:tplc="860E4FB4">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7ECD62">
      <w:start w:val="1"/>
      <w:numFmt w:val="bullet"/>
      <w:lvlText w:val="·"/>
      <w:lvlJc w:val="left"/>
      <w:pPr>
        <w:tabs>
          <w:tab w:val="left" w:pos="9132"/>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3426BA8">
      <w:start w:val="1"/>
      <w:numFmt w:val="bullet"/>
      <w:lvlText w:val="·"/>
      <w:lvlJc w:val="left"/>
      <w:pPr>
        <w:tabs>
          <w:tab w:val="left" w:pos="9132"/>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76CDD84">
      <w:start w:val="1"/>
      <w:numFmt w:val="bullet"/>
      <w:lvlText w:val="·"/>
      <w:lvlJc w:val="left"/>
      <w:pPr>
        <w:tabs>
          <w:tab w:val="left" w:pos="9132"/>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3E3ED6">
      <w:start w:val="1"/>
      <w:numFmt w:val="bullet"/>
      <w:lvlText w:val="·"/>
      <w:lvlJc w:val="left"/>
      <w:pPr>
        <w:tabs>
          <w:tab w:val="left" w:pos="9132"/>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D6040AE">
      <w:start w:val="1"/>
      <w:numFmt w:val="bullet"/>
      <w:lvlText w:val="·"/>
      <w:lvlJc w:val="left"/>
      <w:pPr>
        <w:tabs>
          <w:tab w:val="left" w:pos="9132"/>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8CE732E">
      <w:start w:val="1"/>
      <w:numFmt w:val="bullet"/>
      <w:lvlText w:val="·"/>
      <w:lvlJc w:val="left"/>
      <w:pPr>
        <w:tabs>
          <w:tab w:val="left" w:pos="9132"/>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6EAD0">
      <w:start w:val="1"/>
      <w:numFmt w:val="bullet"/>
      <w:lvlText w:val="·"/>
      <w:lvlJc w:val="left"/>
      <w:pPr>
        <w:tabs>
          <w:tab w:val="left" w:pos="9132"/>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F419F2">
      <w:start w:val="1"/>
      <w:numFmt w:val="bullet"/>
      <w:lvlText w:val="·"/>
      <w:lvlJc w:val="left"/>
      <w:pPr>
        <w:tabs>
          <w:tab w:val="left" w:pos="9132"/>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66636ED"/>
    <w:multiLevelType w:val="hybridMultilevel"/>
    <w:tmpl w:val="9B8A9EFA"/>
    <w:lvl w:ilvl="0" w:tplc="78E0AB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12E2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36E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2EDD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9248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AA79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CAFA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2645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022D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68A14B6"/>
    <w:multiLevelType w:val="hybridMultilevel"/>
    <w:tmpl w:val="6414CCFC"/>
    <w:lvl w:ilvl="0" w:tplc="8D7C5E7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3A239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A8941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3BA7E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A3C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46781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6A4A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72FB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16A67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6D5559C"/>
    <w:multiLevelType w:val="hybridMultilevel"/>
    <w:tmpl w:val="0430E31A"/>
    <w:styleLink w:val="WW8Num45"/>
    <w:lvl w:ilvl="0" w:tplc="E6947E90">
      <w:start w:val="1"/>
      <w:numFmt w:val="lowerLetter"/>
      <w:lvlText w:val="%1)"/>
      <w:lvlJc w:val="left"/>
      <w:pPr>
        <w:tabs>
          <w:tab w:val="left" w:pos="1476"/>
          <w:tab w:val="left" w:pos="9132"/>
        </w:tabs>
        <w:ind w:left="737" w:hanging="35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C8921760">
      <w:start w:val="1"/>
      <w:numFmt w:val="decimal"/>
      <w:lvlText w:val="%2."/>
      <w:lvlJc w:val="left"/>
      <w:pPr>
        <w:tabs>
          <w:tab w:val="left" w:pos="1476"/>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AD45A0C">
      <w:start w:val="1"/>
      <w:numFmt w:val="decimal"/>
      <w:lvlText w:val="%3."/>
      <w:lvlJc w:val="left"/>
      <w:pPr>
        <w:tabs>
          <w:tab w:val="left" w:pos="1476"/>
          <w:tab w:val="left" w:pos="9132"/>
        </w:tabs>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A8CCE56">
      <w:start w:val="1"/>
      <w:numFmt w:val="decimal"/>
      <w:lvlText w:val="%4."/>
      <w:lvlJc w:val="left"/>
      <w:pPr>
        <w:tabs>
          <w:tab w:val="left" w:pos="1476"/>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38ECB9E">
      <w:start w:val="1"/>
      <w:numFmt w:val="decimal"/>
      <w:lvlText w:val="%5."/>
      <w:lvlJc w:val="left"/>
      <w:pPr>
        <w:tabs>
          <w:tab w:val="left" w:pos="1476"/>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D885F80">
      <w:start w:val="1"/>
      <w:numFmt w:val="decimal"/>
      <w:lvlText w:val="%6."/>
      <w:lvlJc w:val="left"/>
      <w:pPr>
        <w:tabs>
          <w:tab w:val="left" w:pos="1476"/>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BDCE186">
      <w:start w:val="1"/>
      <w:numFmt w:val="decimal"/>
      <w:lvlText w:val="%7."/>
      <w:lvlJc w:val="left"/>
      <w:pPr>
        <w:tabs>
          <w:tab w:val="left" w:pos="1476"/>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4DEB4BA">
      <w:start w:val="1"/>
      <w:numFmt w:val="decimal"/>
      <w:lvlText w:val="%8."/>
      <w:lvlJc w:val="left"/>
      <w:pPr>
        <w:tabs>
          <w:tab w:val="left" w:pos="1476"/>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3606F7A">
      <w:start w:val="1"/>
      <w:numFmt w:val="decimal"/>
      <w:lvlText w:val="%9."/>
      <w:lvlJc w:val="left"/>
      <w:pPr>
        <w:tabs>
          <w:tab w:val="left" w:pos="1476"/>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8" w15:restartNumberingAfterBreak="0">
    <w:nsid w:val="69913298"/>
    <w:multiLevelType w:val="hybridMultilevel"/>
    <w:tmpl w:val="6598ED2E"/>
    <w:styleLink w:val="Stileimportato35"/>
    <w:lvl w:ilvl="0" w:tplc="7D3874D8">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760E2F0">
      <w:start w:val="1"/>
      <w:numFmt w:val="bullet"/>
      <w:lvlText w:val="o"/>
      <w:lvlJc w:val="left"/>
      <w:pPr>
        <w:tabs>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08E07B4">
      <w:start w:val="1"/>
      <w:numFmt w:val="bullet"/>
      <w:lvlText w:val="▪"/>
      <w:lvlJc w:val="left"/>
      <w:pPr>
        <w:tabs>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476133C">
      <w:start w:val="1"/>
      <w:numFmt w:val="bullet"/>
      <w:lvlText w:val="▪"/>
      <w:lvlJc w:val="left"/>
      <w:pPr>
        <w:tabs>
          <w:tab w:val="left" w:pos="9132"/>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A8F768">
      <w:start w:val="1"/>
      <w:numFmt w:val="bullet"/>
      <w:lvlText w:val="▪"/>
      <w:lvlJc w:val="left"/>
      <w:pPr>
        <w:tabs>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8A8BA8">
      <w:start w:val="1"/>
      <w:numFmt w:val="bullet"/>
      <w:lvlText w:val="▪"/>
      <w:lvlJc w:val="left"/>
      <w:pPr>
        <w:tabs>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3DE833E">
      <w:start w:val="1"/>
      <w:numFmt w:val="bullet"/>
      <w:lvlText w:val="▪"/>
      <w:lvlJc w:val="left"/>
      <w:pPr>
        <w:tabs>
          <w:tab w:val="left" w:pos="9132"/>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B1403A8">
      <w:start w:val="1"/>
      <w:numFmt w:val="bullet"/>
      <w:lvlText w:val="▪"/>
      <w:lvlJc w:val="left"/>
      <w:pPr>
        <w:tabs>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F880672">
      <w:start w:val="1"/>
      <w:numFmt w:val="bullet"/>
      <w:lvlText w:val="▪"/>
      <w:lvlJc w:val="left"/>
      <w:pPr>
        <w:tabs>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9" w15:restartNumberingAfterBreak="0">
    <w:nsid w:val="69B16D21"/>
    <w:multiLevelType w:val="hybridMultilevel"/>
    <w:tmpl w:val="C28E3A36"/>
    <w:styleLink w:val="WW8Num17"/>
    <w:lvl w:ilvl="0" w:tplc="7E3AD962">
      <w:start w:val="1"/>
      <w:numFmt w:val="decimal"/>
      <w:lvlText w:val="%1)"/>
      <w:lvlJc w:val="left"/>
      <w:pPr>
        <w:ind w:left="360" w:hanging="34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F8AEB10">
      <w:start w:val="1"/>
      <w:numFmt w:val="lowerLetter"/>
      <w:lvlText w:val="%2."/>
      <w:lvlJc w:val="left"/>
      <w:pPr>
        <w:ind w:left="1080" w:hanging="338"/>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74647A26">
      <w:start w:val="1"/>
      <w:numFmt w:val="lowerRoman"/>
      <w:suff w:val="nothing"/>
      <w:lvlText w:val="%3."/>
      <w:lvlJc w:val="left"/>
      <w:pPr>
        <w:ind w:left="1955"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8188D478">
      <w:start w:val="1"/>
      <w:numFmt w:val="decimal"/>
      <w:lvlText w:val="%4."/>
      <w:lvlJc w:val="left"/>
      <w:pPr>
        <w:ind w:left="2520" w:hanging="316"/>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B494433A">
      <w:start w:val="1"/>
      <w:numFmt w:val="lowerLetter"/>
      <w:lvlText w:val="%5."/>
      <w:lvlJc w:val="left"/>
      <w:pPr>
        <w:ind w:left="3240" w:hanging="305"/>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7D4C3A76">
      <w:start w:val="1"/>
      <w:numFmt w:val="lowerRoman"/>
      <w:lvlText w:val="%6."/>
      <w:lvlJc w:val="left"/>
      <w:pPr>
        <w:ind w:left="4140" w:hanging="82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3F32E6B2">
      <w:start w:val="1"/>
      <w:numFmt w:val="decimal"/>
      <w:lvlText w:val="%7."/>
      <w:lvlJc w:val="left"/>
      <w:pPr>
        <w:ind w:left="4680"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DA301036">
      <w:start w:val="1"/>
      <w:numFmt w:val="lowerLetter"/>
      <w:lvlText w:val="%8."/>
      <w:lvlJc w:val="left"/>
      <w:pPr>
        <w:ind w:left="5400" w:hanging="272"/>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4328D0D4">
      <w:start w:val="1"/>
      <w:numFmt w:val="lowerRoman"/>
      <w:lvlText w:val="%9."/>
      <w:lvlJc w:val="left"/>
      <w:pPr>
        <w:ind w:left="6300" w:hanging="790"/>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80" w15:restartNumberingAfterBreak="0">
    <w:nsid w:val="6A53502C"/>
    <w:multiLevelType w:val="hybridMultilevel"/>
    <w:tmpl w:val="8500E9F0"/>
    <w:numStyleLink w:val="WW8Num9"/>
  </w:abstractNum>
  <w:abstractNum w:abstractNumId="81" w15:restartNumberingAfterBreak="0">
    <w:nsid w:val="6C5D68F0"/>
    <w:multiLevelType w:val="hybridMultilevel"/>
    <w:tmpl w:val="1B2E2C12"/>
    <w:styleLink w:val="Stileimportato13"/>
    <w:lvl w:ilvl="0" w:tplc="F30CCF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FEF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D0C5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58B2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2E8F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6E9D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BC43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1A2B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3408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6ED4163F"/>
    <w:multiLevelType w:val="hybridMultilevel"/>
    <w:tmpl w:val="A49A4230"/>
    <w:numStyleLink w:val="Stileimportato3"/>
  </w:abstractNum>
  <w:abstractNum w:abstractNumId="83" w15:restartNumberingAfterBreak="0">
    <w:nsid w:val="716A4B2B"/>
    <w:multiLevelType w:val="hybridMultilevel"/>
    <w:tmpl w:val="102E0BFA"/>
    <w:lvl w:ilvl="0" w:tplc="F0BE6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5466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EA5F5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264C1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C0FD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544C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8720A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CE21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A050A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1AE7B51"/>
    <w:multiLevelType w:val="hybridMultilevel"/>
    <w:tmpl w:val="3C76DB0A"/>
    <w:styleLink w:val="WW8Num5"/>
    <w:lvl w:ilvl="0" w:tplc="92EABA28">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716546E">
      <w:start w:val="1"/>
      <w:numFmt w:val="bullet"/>
      <w:lvlText w:val="·"/>
      <w:lvlJc w:val="left"/>
      <w:pPr>
        <w:ind w:left="1064"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9985372">
      <w:start w:val="1"/>
      <w:numFmt w:val="bullet"/>
      <w:lvlText w:val="·"/>
      <w:lvlJc w:val="left"/>
      <w:pPr>
        <w:ind w:left="1939"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990945E">
      <w:start w:val="1"/>
      <w:numFmt w:val="bullet"/>
      <w:lvlText w:val="·"/>
      <w:lvlJc w:val="left"/>
      <w:pPr>
        <w:ind w:left="281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92EA90">
      <w:start w:val="1"/>
      <w:numFmt w:val="bullet"/>
      <w:lvlText w:val="·"/>
      <w:lvlJc w:val="left"/>
      <w:pPr>
        <w:ind w:left="368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8087C82">
      <w:start w:val="1"/>
      <w:numFmt w:val="bullet"/>
      <w:lvlText w:val="·"/>
      <w:lvlJc w:val="left"/>
      <w:pPr>
        <w:ind w:left="456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F1A3B92">
      <w:start w:val="1"/>
      <w:numFmt w:val="bullet"/>
      <w:lvlText w:val="·"/>
      <w:lvlJc w:val="left"/>
      <w:pPr>
        <w:ind w:left="543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EA75EC">
      <w:start w:val="1"/>
      <w:numFmt w:val="bullet"/>
      <w:lvlText w:val="·"/>
      <w:lvlJc w:val="left"/>
      <w:pPr>
        <w:ind w:left="6312"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72C5E88">
      <w:start w:val="1"/>
      <w:numFmt w:val="bullet"/>
      <w:lvlText w:val="·"/>
      <w:lvlJc w:val="left"/>
      <w:pPr>
        <w:ind w:left="718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1D37B8A"/>
    <w:multiLevelType w:val="hybridMultilevel"/>
    <w:tmpl w:val="7FD236EA"/>
    <w:styleLink w:val="WW8Num22"/>
    <w:lvl w:ilvl="0" w:tplc="269211B8">
      <w:start w:val="1"/>
      <w:numFmt w:val="lowerLetter"/>
      <w:lvlText w:val="%1)"/>
      <w:lvlJc w:val="left"/>
      <w:pPr>
        <w:ind w:left="62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38B4DA7A">
      <w:start w:val="1"/>
      <w:numFmt w:val="lowerLetter"/>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0FA2FF32">
      <w:start w:val="1"/>
      <w:numFmt w:val="lowerLetter"/>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C5BA29F0">
      <w:start w:val="1"/>
      <w:numFmt w:val="lowerLetter"/>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33DE5C98">
      <w:start w:val="1"/>
      <w:numFmt w:val="lowerLetter"/>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856C1E72">
      <w:start w:val="1"/>
      <w:numFmt w:val="lowerLetter"/>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6A56D2A8">
      <w:start w:val="1"/>
      <w:numFmt w:val="lowerLetter"/>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ECC4E1DE">
      <w:start w:val="1"/>
      <w:numFmt w:val="lowerLetter"/>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AB205674">
      <w:start w:val="1"/>
      <w:numFmt w:val="lowerLetter"/>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86" w15:restartNumberingAfterBreak="0">
    <w:nsid w:val="724643B7"/>
    <w:multiLevelType w:val="hybridMultilevel"/>
    <w:tmpl w:val="EC365ABA"/>
    <w:styleLink w:val="Stileimportato19"/>
    <w:lvl w:ilvl="0" w:tplc="0D6404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147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8E7E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EB652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849A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0E650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182542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7421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0B0317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3CC199F"/>
    <w:multiLevelType w:val="hybridMultilevel"/>
    <w:tmpl w:val="772E9AD2"/>
    <w:numStyleLink w:val="Stileimportato27"/>
  </w:abstractNum>
  <w:abstractNum w:abstractNumId="88" w15:restartNumberingAfterBreak="0">
    <w:nsid w:val="73FB2DC1"/>
    <w:multiLevelType w:val="hybridMultilevel"/>
    <w:tmpl w:val="798A1CE8"/>
    <w:numStyleLink w:val="Stileimportato10"/>
  </w:abstractNum>
  <w:abstractNum w:abstractNumId="89" w15:restartNumberingAfterBreak="0">
    <w:nsid w:val="75324497"/>
    <w:multiLevelType w:val="hybridMultilevel"/>
    <w:tmpl w:val="5BDC78D8"/>
    <w:numStyleLink w:val="WW8Num4"/>
  </w:abstractNum>
  <w:abstractNum w:abstractNumId="90" w15:restartNumberingAfterBreak="0">
    <w:nsid w:val="753C5662"/>
    <w:multiLevelType w:val="multilevel"/>
    <w:tmpl w:val="6CB48CB4"/>
    <w:styleLink w:val="WW8Num13"/>
    <w:lvl w:ilvl="0">
      <w:start w:val="1"/>
      <w:numFmt w:val="decimal"/>
      <w:lvlText w:val="%1."/>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decimal"/>
      <w:suff w:val="nothing"/>
      <w:lvlText w:val="%1.%2."/>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suff w:val="nothing"/>
      <w:lvlText w:val="%1.%2.%3."/>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nothing"/>
      <w:lvlText w:val="%1.%2.%3.%4."/>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suff w:val="nothing"/>
      <w:lvlText w:val="%1.%2.%3.%4.%5."/>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1.%2.%3.%4.%5.%6."/>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1.%2.%3.%4.%5.%6.%7."/>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1.%2.%3.%4.%5.%6.%7.%8."/>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1.%2.%3.%4.%5.%6.%7.%8.%9."/>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1" w15:restartNumberingAfterBreak="0">
    <w:nsid w:val="76421DD9"/>
    <w:multiLevelType w:val="hybridMultilevel"/>
    <w:tmpl w:val="83F6F2CE"/>
    <w:styleLink w:val="WW8Num18"/>
    <w:lvl w:ilvl="0" w:tplc="4904A77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528C07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74AF8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14CD8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10E2B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C2B348">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AAF0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DE8E6F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F49E8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72A61E9"/>
    <w:multiLevelType w:val="hybridMultilevel"/>
    <w:tmpl w:val="C28E3A36"/>
    <w:numStyleLink w:val="WW8Num17"/>
  </w:abstractNum>
  <w:abstractNum w:abstractNumId="93" w15:restartNumberingAfterBreak="0">
    <w:nsid w:val="775E2D80"/>
    <w:multiLevelType w:val="hybridMultilevel"/>
    <w:tmpl w:val="64C67DE8"/>
    <w:styleLink w:val="Stileimportato8"/>
    <w:lvl w:ilvl="0" w:tplc="A198AE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6A4E9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5B01E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278B87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ECEEFB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05E51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96EA6D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5CAF3F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216DF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4" w15:restartNumberingAfterBreak="0">
    <w:nsid w:val="77DE5D36"/>
    <w:multiLevelType w:val="hybridMultilevel"/>
    <w:tmpl w:val="4C944956"/>
    <w:numStyleLink w:val="Stileimportato34"/>
  </w:abstractNum>
  <w:abstractNum w:abstractNumId="95" w15:restartNumberingAfterBreak="0">
    <w:nsid w:val="78581A2C"/>
    <w:multiLevelType w:val="hybridMultilevel"/>
    <w:tmpl w:val="80CCA2B0"/>
    <w:lvl w:ilvl="0" w:tplc="BB3EAC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7405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48051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3A60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30AE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80F84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A72F30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0E87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F0EAD4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78A93181"/>
    <w:multiLevelType w:val="hybridMultilevel"/>
    <w:tmpl w:val="C50C11FE"/>
    <w:styleLink w:val="Stileimportato18"/>
    <w:lvl w:ilvl="0" w:tplc="90CC59D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E5CC7DB6">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283863B4">
      <w:start w:val="1"/>
      <w:numFmt w:val="lowerLetter"/>
      <w:lvlText w:val="%3)"/>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4D8A0CD8">
      <w:start w:val="1"/>
      <w:numFmt w:val="lowerLetter"/>
      <w:lvlText w:val="%4)"/>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0512F7DE">
      <w:start w:val="1"/>
      <w:numFmt w:val="lowerLetter"/>
      <w:lvlText w:val="%5)"/>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91E8D654">
      <w:start w:val="1"/>
      <w:numFmt w:val="lowerLetter"/>
      <w:lvlText w:val="%6)"/>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01FA2A4A">
      <w:start w:val="1"/>
      <w:numFmt w:val="lowerLetter"/>
      <w:lvlText w:val="%7)"/>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C8D05766">
      <w:start w:val="1"/>
      <w:numFmt w:val="lowerLetter"/>
      <w:lvlText w:val="%8)"/>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777EBFFE">
      <w:start w:val="1"/>
      <w:numFmt w:val="lowerLetter"/>
      <w:lvlText w:val="%9)"/>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97" w15:restartNumberingAfterBreak="0">
    <w:nsid w:val="7A5B3E33"/>
    <w:multiLevelType w:val="hybridMultilevel"/>
    <w:tmpl w:val="CA5E0832"/>
    <w:styleLink w:val="Stileimportato7"/>
    <w:lvl w:ilvl="0" w:tplc="A0F8DF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632FF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136D3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92EEE4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9CE049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E8E04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C184C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8E4600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02430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8" w15:restartNumberingAfterBreak="0">
    <w:nsid w:val="7AAE2BF2"/>
    <w:multiLevelType w:val="hybridMultilevel"/>
    <w:tmpl w:val="CA5E0832"/>
    <w:numStyleLink w:val="Stileimportato7"/>
  </w:abstractNum>
  <w:abstractNum w:abstractNumId="99" w15:restartNumberingAfterBreak="0">
    <w:nsid w:val="7DE05739"/>
    <w:multiLevelType w:val="hybridMultilevel"/>
    <w:tmpl w:val="D8108710"/>
    <w:styleLink w:val="Stileimportato12"/>
    <w:lvl w:ilvl="0" w:tplc="15E07F4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6169674">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4D6E0B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F4AB9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FFA3F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AE86F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9E2AE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3A0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62A7E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7E542A5A"/>
    <w:multiLevelType w:val="hybridMultilevel"/>
    <w:tmpl w:val="0DB078CC"/>
    <w:styleLink w:val="Stileimportato14"/>
    <w:lvl w:ilvl="0" w:tplc="8AFA350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724C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00C7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5CE27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486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068EE8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8A6B8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EE14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BE8D0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EB37382"/>
    <w:multiLevelType w:val="hybridMultilevel"/>
    <w:tmpl w:val="EC365ABA"/>
    <w:numStyleLink w:val="Stileimportato19"/>
  </w:abstractNum>
  <w:abstractNum w:abstractNumId="102" w15:restartNumberingAfterBreak="0">
    <w:nsid w:val="7ED47224"/>
    <w:multiLevelType w:val="hybridMultilevel"/>
    <w:tmpl w:val="AAA03B3A"/>
    <w:numStyleLink w:val="Stileimportato17"/>
  </w:abstractNum>
  <w:abstractNum w:abstractNumId="103" w15:restartNumberingAfterBreak="0">
    <w:nsid w:val="7F053588"/>
    <w:multiLevelType w:val="hybridMultilevel"/>
    <w:tmpl w:val="CD502516"/>
    <w:styleLink w:val="Stileimportato20"/>
    <w:lvl w:ilvl="0" w:tplc="1ED2E4D6">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740322">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C2EFE6">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B56492A">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4CEDAC">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04B072">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F146BF2">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37A64AA">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2291BC">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F55447F"/>
    <w:multiLevelType w:val="hybridMultilevel"/>
    <w:tmpl w:val="203C0462"/>
    <w:styleLink w:val="Stileimportato2"/>
    <w:lvl w:ilvl="0" w:tplc="88FCCC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EDCD5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52AA8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FD0215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19C46C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2FAFA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F4EF7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D18D1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4C3D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243568171">
    <w:abstractNumId w:val="3"/>
  </w:num>
  <w:num w:numId="2" w16cid:durableId="1811438567">
    <w:abstractNumId w:val="66"/>
  </w:num>
  <w:num w:numId="3" w16cid:durableId="1318461866">
    <w:abstractNumId w:val="104"/>
  </w:num>
  <w:num w:numId="4" w16cid:durableId="1063411163">
    <w:abstractNumId w:val="43"/>
  </w:num>
  <w:num w:numId="5" w16cid:durableId="1819027463">
    <w:abstractNumId w:val="66"/>
    <w:lvlOverride w:ilvl="0">
      <w:startOverride w:val="2"/>
    </w:lvlOverride>
  </w:num>
  <w:num w:numId="6" w16cid:durableId="1077556824">
    <w:abstractNumId w:val="64"/>
  </w:num>
  <w:num w:numId="7" w16cid:durableId="933170449">
    <w:abstractNumId w:val="82"/>
  </w:num>
  <w:num w:numId="8" w16cid:durableId="992640539">
    <w:abstractNumId w:val="66"/>
    <w:lvlOverride w:ilvl="0">
      <w:startOverride w:val="3"/>
    </w:lvlOverride>
  </w:num>
  <w:num w:numId="9" w16cid:durableId="1842349532">
    <w:abstractNumId w:val="2"/>
  </w:num>
  <w:num w:numId="10" w16cid:durableId="525020980">
    <w:abstractNumId w:val="36"/>
  </w:num>
  <w:num w:numId="11" w16cid:durableId="118452096">
    <w:abstractNumId w:val="66"/>
    <w:lvlOverride w:ilvl="0">
      <w:startOverride w:val="4"/>
    </w:lvlOverride>
  </w:num>
  <w:num w:numId="12" w16cid:durableId="2064406050">
    <w:abstractNumId w:val="70"/>
  </w:num>
  <w:num w:numId="13" w16cid:durableId="2092386121">
    <w:abstractNumId w:val="34"/>
  </w:num>
  <w:num w:numId="14" w16cid:durableId="1085151187">
    <w:abstractNumId w:val="66"/>
    <w:lvlOverride w:ilvl="0">
      <w:startOverride w:val="5"/>
    </w:lvlOverride>
  </w:num>
  <w:num w:numId="15" w16cid:durableId="1333799181">
    <w:abstractNumId w:val="12"/>
  </w:num>
  <w:num w:numId="16" w16cid:durableId="1515655628">
    <w:abstractNumId w:val="62"/>
  </w:num>
  <w:num w:numId="17" w16cid:durableId="196743026">
    <w:abstractNumId w:val="66"/>
    <w:lvlOverride w:ilvl="0">
      <w:startOverride w:val="6"/>
    </w:lvlOverride>
  </w:num>
  <w:num w:numId="18" w16cid:durableId="878131306">
    <w:abstractNumId w:val="97"/>
  </w:num>
  <w:num w:numId="19" w16cid:durableId="652835530">
    <w:abstractNumId w:val="98"/>
  </w:num>
  <w:num w:numId="20" w16cid:durableId="1736391014">
    <w:abstractNumId w:val="66"/>
    <w:lvlOverride w:ilvl="0">
      <w:startOverride w:val="7"/>
    </w:lvlOverride>
  </w:num>
  <w:num w:numId="21" w16cid:durableId="368258562">
    <w:abstractNumId w:val="93"/>
  </w:num>
  <w:num w:numId="22" w16cid:durableId="1246914789">
    <w:abstractNumId w:val="49"/>
  </w:num>
  <w:num w:numId="23" w16cid:durableId="172769178">
    <w:abstractNumId w:val="91"/>
  </w:num>
  <w:num w:numId="24" w16cid:durableId="158623926">
    <w:abstractNumId w:val="47"/>
  </w:num>
  <w:num w:numId="25" w16cid:durableId="2127383491">
    <w:abstractNumId w:val="58"/>
  </w:num>
  <w:num w:numId="26" w16cid:durableId="1910310187">
    <w:abstractNumId w:val="39"/>
  </w:num>
  <w:num w:numId="27" w16cid:durableId="46690915">
    <w:abstractNumId w:val="39"/>
    <w:lvlOverride w:ilvl="0">
      <w:lvl w:ilvl="0" w:tplc="9766A9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65A54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0F01B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9E4391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A6E4F0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3B2E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28AA6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00C016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F866D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373042879">
    <w:abstractNumId w:val="8"/>
  </w:num>
  <w:num w:numId="29" w16cid:durableId="1775206048">
    <w:abstractNumId w:val="25"/>
  </w:num>
  <w:num w:numId="30" w16cid:durableId="534780550">
    <w:abstractNumId w:val="55"/>
  </w:num>
  <w:num w:numId="31" w16cid:durableId="468939223">
    <w:abstractNumId w:val="19"/>
  </w:num>
  <w:num w:numId="32" w16cid:durableId="154153742">
    <w:abstractNumId w:val="50"/>
  </w:num>
  <w:num w:numId="33" w16cid:durableId="978605814">
    <w:abstractNumId w:val="28"/>
  </w:num>
  <w:num w:numId="34" w16cid:durableId="24791643">
    <w:abstractNumId w:val="47"/>
    <w:lvlOverride w:ilvl="0">
      <w:lvl w:ilvl="0" w:tplc="E2D803A0">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FC454E4">
        <w:start w:val="1"/>
        <w:numFmt w:val="bullet"/>
        <w:lvlText w:val="o"/>
        <w:lvlJc w:val="left"/>
        <w:pPr>
          <w:ind w:left="720" w:hanging="6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CADE5E">
        <w:start w:val="1"/>
        <w:numFmt w:val="bullet"/>
        <w:lvlText w:val="▪"/>
        <w:lvlJc w:val="left"/>
        <w:pPr>
          <w:ind w:left="1440" w:hanging="6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AA7C6C">
        <w:start w:val="1"/>
        <w:numFmt w:val="bullet"/>
        <w:lvlText w:val="·"/>
        <w:lvlJc w:val="left"/>
        <w:pPr>
          <w:ind w:left="2160" w:hanging="676"/>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AE58DC98">
        <w:start w:val="1"/>
        <w:numFmt w:val="bullet"/>
        <w:lvlText w:val="o"/>
        <w:lvlJc w:val="left"/>
        <w:pPr>
          <w:ind w:left="2880" w:hanging="66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52EB4E0">
        <w:start w:val="1"/>
        <w:numFmt w:val="bullet"/>
        <w:lvlText w:val="▪"/>
        <w:lvlJc w:val="left"/>
        <w:pPr>
          <w:ind w:left="3600" w:hanging="6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D8ABA2E">
        <w:start w:val="1"/>
        <w:numFmt w:val="bullet"/>
        <w:lvlText w:val="·"/>
        <w:lvlJc w:val="left"/>
        <w:pPr>
          <w:ind w:left="4320" w:hanging="64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F452AA1A">
        <w:start w:val="1"/>
        <w:numFmt w:val="bullet"/>
        <w:lvlText w:val="o"/>
        <w:lvlJc w:val="left"/>
        <w:pPr>
          <w:ind w:left="5040" w:hanging="6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52A2294">
        <w:start w:val="1"/>
        <w:numFmt w:val="bullet"/>
        <w:lvlText w:val="▪"/>
        <w:lvlJc w:val="left"/>
        <w:pPr>
          <w:ind w:left="5760" w:hanging="6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16cid:durableId="24449583">
    <w:abstractNumId w:val="53"/>
  </w:num>
  <w:num w:numId="36" w16cid:durableId="2044595457">
    <w:abstractNumId w:val="1"/>
  </w:num>
  <w:num w:numId="37" w16cid:durableId="1017776625">
    <w:abstractNumId w:val="59"/>
  </w:num>
  <w:num w:numId="38" w16cid:durableId="262305549">
    <w:abstractNumId w:val="88"/>
  </w:num>
  <w:num w:numId="39" w16cid:durableId="456797647">
    <w:abstractNumId w:val="99"/>
  </w:num>
  <w:num w:numId="40" w16cid:durableId="2037346901">
    <w:abstractNumId w:val="69"/>
  </w:num>
  <w:num w:numId="41" w16cid:durableId="1568150551">
    <w:abstractNumId w:val="81"/>
  </w:num>
  <w:num w:numId="42" w16cid:durableId="1177882749">
    <w:abstractNumId w:val="33"/>
  </w:num>
  <w:num w:numId="43" w16cid:durableId="1129321339">
    <w:abstractNumId w:val="100"/>
  </w:num>
  <w:num w:numId="44" w16cid:durableId="483547740">
    <w:abstractNumId w:val="0"/>
  </w:num>
  <w:num w:numId="45" w16cid:durableId="744382189">
    <w:abstractNumId w:val="30"/>
  </w:num>
  <w:num w:numId="46" w16cid:durableId="848525355">
    <w:abstractNumId w:val="29"/>
  </w:num>
  <w:num w:numId="47" w16cid:durableId="1369379873">
    <w:abstractNumId w:val="61"/>
  </w:num>
  <w:num w:numId="48" w16cid:durableId="1373312094">
    <w:abstractNumId w:val="26"/>
  </w:num>
  <w:num w:numId="49" w16cid:durableId="81412044">
    <w:abstractNumId w:val="31"/>
  </w:num>
  <w:num w:numId="50" w16cid:durableId="829827732">
    <w:abstractNumId w:val="102"/>
  </w:num>
  <w:num w:numId="51" w16cid:durableId="195243865">
    <w:abstractNumId w:val="96"/>
  </w:num>
  <w:num w:numId="52" w16cid:durableId="1957366079">
    <w:abstractNumId w:val="44"/>
  </w:num>
  <w:num w:numId="53" w16cid:durableId="1216893652">
    <w:abstractNumId w:val="86"/>
  </w:num>
  <w:num w:numId="54" w16cid:durableId="1105149763">
    <w:abstractNumId w:val="101"/>
  </w:num>
  <w:num w:numId="55" w16cid:durableId="1772820501">
    <w:abstractNumId w:val="103"/>
  </w:num>
  <w:num w:numId="56" w16cid:durableId="1736586823">
    <w:abstractNumId w:val="52"/>
  </w:num>
  <w:num w:numId="57" w16cid:durableId="1643925378">
    <w:abstractNumId w:val="26"/>
    <w:lvlOverride w:ilvl="0">
      <w:lvl w:ilvl="0" w:tplc="FC945CBE">
        <w:start w:val="1"/>
        <w:numFmt w:val="bullet"/>
        <w:lvlText w:val="-"/>
        <w:lvlJc w:val="left"/>
        <w:pPr>
          <w:tabs>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68A2A6">
        <w:start w:val="1"/>
        <w:numFmt w:val="bullet"/>
        <w:lvlText w:val="-"/>
        <w:lvlJc w:val="left"/>
        <w:pPr>
          <w:tabs>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74722C">
        <w:start w:val="1"/>
        <w:numFmt w:val="bullet"/>
        <w:lvlText w:val="▪"/>
        <w:lvlJc w:val="left"/>
        <w:pPr>
          <w:tabs>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D3A66F4">
        <w:start w:val="1"/>
        <w:numFmt w:val="bullet"/>
        <w:lvlText w:val="•"/>
        <w:lvlJc w:val="left"/>
        <w:pPr>
          <w:tabs>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962FA4">
        <w:start w:val="1"/>
        <w:numFmt w:val="bullet"/>
        <w:lvlText w:val="o"/>
        <w:lvlJc w:val="left"/>
        <w:pPr>
          <w:tabs>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C2A1F82">
        <w:start w:val="1"/>
        <w:numFmt w:val="bullet"/>
        <w:lvlText w:val="▪"/>
        <w:lvlJc w:val="left"/>
        <w:pPr>
          <w:tabs>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84F258">
        <w:start w:val="1"/>
        <w:numFmt w:val="bullet"/>
        <w:lvlText w:val="•"/>
        <w:lvlJc w:val="left"/>
        <w:pPr>
          <w:tabs>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440C3FE">
        <w:start w:val="1"/>
        <w:numFmt w:val="bullet"/>
        <w:lvlText w:val="o"/>
        <w:lvlJc w:val="left"/>
        <w:pPr>
          <w:tabs>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A4C1B46">
        <w:start w:val="1"/>
        <w:numFmt w:val="bullet"/>
        <w:lvlText w:val="▪"/>
        <w:lvlJc w:val="left"/>
        <w:pPr>
          <w:tabs>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8" w16cid:durableId="1379429816">
    <w:abstractNumId w:val="26"/>
    <w:lvlOverride w:ilvl="0">
      <w:lvl w:ilvl="0" w:tplc="FC945CBE">
        <w:start w:val="1"/>
        <w:numFmt w:val="bullet"/>
        <w:lvlText w:val="-"/>
        <w:lvlJc w:val="left"/>
        <w:pPr>
          <w:tabs>
            <w:tab w:val="left" w:pos="9132"/>
          </w:tabs>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68A2A6">
        <w:start w:val="1"/>
        <w:numFmt w:val="bullet"/>
        <w:lvlText w:val="-"/>
        <w:lvlJc w:val="left"/>
        <w:pPr>
          <w:tabs>
            <w:tab w:val="left" w:pos="9132"/>
          </w:tabs>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74722C">
        <w:start w:val="1"/>
        <w:numFmt w:val="bullet"/>
        <w:lvlText w:val="▪"/>
        <w:lvlJc w:val="left"/>
        <w:pPr>
          <w:tabs>
            <w:tab w:val="left" w:pos="9132"/>
          </w:tabs>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D3A66F4">
        <w:start w:val="1"/>
        <w:numFmt w:val="bullet"/>
        <w:lvlText w:val="•"/>
        <w:lvlJc w:val="left"/>
        <w:pPr>
          <w:tabs>
            <w:tab w:val="left" w:pos="9132"/>
          </w:tabs>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962FA4">
        <w:start w:val="1"/>
        <w:numFmt w:val="bullet"/>
        <w:lvlText w:val="o"/>
        <w:lvlJc w:val="left"/>
        <w:pPr>
          <w:tabs>
            <w:tab w:val="left" w:pos="9132"/>
          </w:tabs>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C2A1F82">
        <w:start w:val="1"/>
        <w:numFmt w:val="bullet"/>
        <w:lvlText w:val="▪"/>
        <w:lvlJc w:val="left"/>
        <w:pPr>
          <w:tabs>
            <w:tab w:val="left" w:pos="9132"/>
          </w:tabs>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84F258">
        <w:start w:val="1"/>
        <w:numFmt w:val="bullet"/>
        <w:lvlText w:val="•"/>
        <w:lvlJc w:val="left"/>
        <w:pPr>
          <w:tabs>
            <w:tab w:val="left" w:pos="9132"/>
          </w:tabs>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440C3FE">
        <w:start w:val="1"/>
        <w:numFmt w:val="bullet"/>
        <w:lvlText w:val="o"/>
        <w:lvlJc w:val="left"/>
        <w:pPr>
          <w:tabs>
            <w:tab w:val="left" w:pos="9132"/>
          </w:tabs>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A4C1B46">
        <w:start w:val="1"/>
        <w:numFmt w:val="bullet"/>
        <w:lvlText w:val="▪"/>
        <w:lvlJc w:val="left"/>
        <w:pPr>
          <w:tabs>
            <w:tab w:val="left" w:pos="9132"/>
          </w:tabs>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9" w16cid:durableId="154952984">
    <w:abstractNumId w:val="26"/>
    <w:lvlOverride w:ilvl="0">
      <w:lvl w:ilvl="0" w:tplc="FC945CBE">
        <w:start w:val="1"/>
        <w:numFmt w:val="bullet"/>
        <w:lvlText w:val="-"/>
        <w:lvlJc w:val="left"/>
        <w:pPr>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68A2A6">
        <w:start w:val="1"/>
        <w:numFmt w:val="bullet"/>
        <w:lvlText w:val="-"/>
        <w:lvlJc w:val="left"/>
        <w:pPr>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74722C">
        <w:start w:val="1"/>
        <w:numFmt w:val="bullet"/>
        <w:lvlText w:val="▪"/>
        <w:lvlJc w:val="left"/>
        <w:pPr>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D3A66F4">
        <w:start w:val="1"/>
        <w:numFmt w:val="bullet"/>
        <w:lvlText w:val="•"/>
        <w:lvlJc w:val="left"/>
        <w:pPr>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962FA4">
        <w:start w:val="1"/>
        <w:numFmt w:val="bullet"/>
        <w:lvlText w:val="o"/>
        <w:lvlJc w:val="left"/>
        <w:pPr>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C2A1F82">
        <w:start w:val="1"/>
        <w:numFmt w:val="bullet"/>
        <w:lvlText w:val="▪"/>
        <w:lvlJc w:val="left"/>
        <w:pPr>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84F258">
        <w:start w:val="1"/>
        <w:numFmt w:val="bullet"/>
        <w:lvlText w:val="•"/>
        <w:lvlJc w:val="left"/>
        <w:pPr>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440C3FE">
        <w:start w:val="1"/>
        <w:numFmt w:val="bullet"/>
        <w:lvlText w:val="o"/>
        <w:lvlJc w:val="left"/>
        <w:pPr>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A4C1B46">
        <w:start w:val="1"/>
        <w:numFmt w:val="bullet"/>
        <w:lvlText w:val="▪"/>
        <w:lvlJc w:val="left"/>
        <w:pPr>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0" w16cid:durableId="460463389">
    <w:abstractNumId w:val="16"/>
  </w:num>
  <w:num w:numId="61" w16cid:durableId="1012730263">
    <w:abstractNumId w:val="65"/>
  </w:num>
  <w:num w:numId="62" w16cid:durableId="1556695226">
    <w:abstractNumId w:val="63"/>
  </w:num>
  <w:num w:numId="63" w16cid:durableId="780689868">
    <w:abstractNumId w:val="80"/>
  </w:num>
  <w:num w:numId="64" w16cid:durableId="1135491899">
    <w:abstractNumId w:val="80"/>
    <w:lvlOverride w:ilvl="0">
      <w:lvl w:ilvl="0" w:tplc="FD7E57EA">
        <w:start w:val="1"/>
        <w:numFmt w:val="bullet"/>
        <w:lvlText w:val="-"/>
        <w:lvlJc w:val="left"/>
        <w:pPr>
          <w:ind w:left="340"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442EF2B2">
        <w:start w:val="1"/>
        <w:numFmt w:val="bullet"/>
        <w:lvlText w:val="-"/>
        <w:lvlJc w:val="left"/>
        <w:pPr>
          <w:ind w:left="10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5D7A930E">
        <w:start w:val="1"/>
        <w:numFmt w:val="bullet"/>
        <w:lvlText w:val="-"/>
        <w:lvlJc w:val="left"/>
        <w:pPr>
          <w:ind w:left="17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2D22C07E">
        <w:start w:val="1"/>
        <w:numFmt w:val="bullet"/>
        <w:lvlText w:val="-"/>
        <w:lvlJc w:val="left"/>
        <w:pPr>
          <w:ind w:left="24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2FC85A54">
        <w:start w:val="1"/>
        <w:numFmt w:val="bullet"/>
        <w:lvlText w:val="-"/>
        <w:lvlJc w:val="left"/>
        <w:pPr>
          <w:ind w:left="316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E140F4E2">
        <w:start w:val="1"/>
        <w:numFmt w:val="bullet"/>
        <w:lvlText w:val="-"/>
        <w:lvlJc w:val="left"/>
        <w:pPr>
          <w:ind w:left="388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23A4A8E2">
        <w:start w:val="1"/>
        <w:numFmt w:val="bullet"/>
        <w:lvlText w:val="-"/>
        <w:lvlJc w:val="left"/>
        <w:pPr>
          <w:ind w:left="46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818C7660">
        <w:start w:val="1"/>
        <w:numFmt w:val="bullet"/>
        <w:lvlText w:val="-"/>
        <w:lvlJc w:val="left"/>
        <w:pPr>
          <w:ind w:left="53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D8FE1CC6">
        <w:start w:val="1"/>
        <w:numFmt w:val="bullet"/>
        <w:lvlText w:val="-"/>
        <w:lvlJc w:val="left"/>
        <w:pPr>
          <w:ind w:left="60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65" w16cid:durableId="2005740866">
    <w:abstractNumId w:val="77"/>
  </w:num>
  <w:num w:numId="66" w16cid:durableId="711810139">
    <w:abstractNumId w:val="10"/>
  </w:num>
  <w:num w:numId="67" w16cid:durableId="1153762912">
    <w:abstractNumId w:val="72"/>
  </w:num>
  <w:num w:numId="68" w16cid:durableId="1876040963">
    <w:abstractNumId w:val="41"/>
  </w:num>
  <w:num w:numId="69" w16cid:durableId="996691232">
    <w:abstractNumId w:val="21"/>
  </w:num>
  <w:num w:numId="70" w16cid:durableId="2013290696">
    <w:abstractNumId w:val="73"/>
  </w:num>
  <w:num w:numId="71" w16cid:durableId="712771582">
    <w:abstractNumId w:val="73"/>
    <w:lvlOverride w:ilvl="0">
      <w:lvl w:ilvl="0" w:tplc="6C30F0D0">
        <w:start w:val="1"/>
        <w:numFmt w:val="bullet"/>
        <w:lvlText w:val="-"/>
        <w:lvlJc w:val="left"/>
        <w:pPr>
          <w:ind w:left="709"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0F6046C">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09A08A92">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A30EB81E">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CB424C3E">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5B2E849E">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FFD2A4CA">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8C228544">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F64C603A">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72" w16cid:durableId="1246189525">
    <w:abstractNumId w:val="48"/>
  </w:num>
  <w:num w:numId="73" w16cid:durableId="509443239">
    <w:abstractNumId w:val="54"/>
  </w:num>
  <w:num w:numId="74" w16cid:durableId="1848515578">
    <w:abstractNumId w:val="32"/>
  </w:num>
  <w:num w:numId="75" w16cid:durableId="2052487437">
    <w:abstractNumId w:val="22"/>
  </w:num>
  <w:num w:numId="76" w16cid:durableId="2019962511">
    <w:abstractNumId w:val="38"/>
  </w:num>
  <w:num w:numId="77" w16cid:durableId="2007513784">
    <w:abstractNumId w:val="45"/>
  </w:num>
  <w:num w:numId="78" w16cid:durableId="1560819008">
    <w:abstractNumId w:val="51"/>
  </w:num>
  <w:num w:numId="79" w16cid:durableId="1662663104">
    <w:abstractNumId w:val="17"/>
  </w:num>
  <w:num w:numId="80" w16cid:durableId="1098450016">
    <w:abstractNumId w:val="79"/>
  </w:num>
  <w:num w:numId="81" w16cid:durableId="815948446">
    <w:abstractNumId w:val="92"/>
  </w:num>
  <w:num w:numId="82" w16cid:durableId="739517538">
    <w:abstractNumId w:val="9"/>
  </w:num>
  <w:num w:numId="83" w16cid:durableId="1402170003">
    <w:abstractNumId w:val="27"/>
  </w:num>
  <w:num w:numId="84" w16cid:durableId="1597205814">
    <w:abstractNumId w:val="85"/>
  </w:num>
  <w:num w:numId="85" w16cid:durableId="1997831030">
    <w:abstractNumId w:val="46"/>
  </w:num>
  <w:num w:numId="86" w16cid:durableId="1063792304">
    <w:abstractNumId w:val="80"/>
    <w:lvlOverride w:ilvl="0">
      <w:lvl w:ilvl="0" w:tplc="FD7E57EA">
        <w:start w:val="1"/>
        <w:numFmt w:val="bullet"/>
        <w:lvlText w:val="-"/>
        <w:lvlJc w:val="left"/>
        <w:pPr>
          <w:ind w:left="102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442EF2B2">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5D7A930E">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2D22C07E">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2FC85A54">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E140F4E2">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23A4A8E2">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818C7660">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D8FE1CC6">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87" w16cid:durableId="2097750915">
    <w:abstractNumId w:val="46"/>
    <w:lvlOverride w:ilvl="0">
      <w:startOverride w:val="2"/>
    </w:lvlOverride>
  </w:num>
  <w:num w:numId="88" w16cid:durableId="451361077">
    <w:abstractNumId w:val="57"/>
  </w:num>
  <w:num w:numId="89" w16cid:durableId="863325055">
    <w:abstractNumId w:val="67"/>
  </w:num>
  <w:num w:numId="90" w16cid:durableId="1398629230">
    <w:abstractNumId w:val="74"/>
  </w:num>
  <w:num w:numId="91" w16cid:durableId="1021589091">
    <w:abstractNumId w:val="15"/>
  </w:num>
  <w:num w:numId="92" w16cid:durableId="11927612">
    <w:abstractNumId w:val="24"/>
  </w:num>
  <w:num w:numId="93" w16cid:durableId="677201028">
    <w:abstractNumId w:val="87"/>
  </w:num>
  <w:num w:numId="94" w16cid:durableId="526599658">
    <w:abstractNumId w:val="20"/>
  </w:num>
  <w:num w:numId="95" w16cid:durableId="489903651">
    <w:abstractNumId w:val="60"/>
  </w:num>
  <w:num w:numId="96" w16cid:durableId="850264911">
    <w:abstractNumId w:val="68"/>
  </w:num>
  <w:num w:numId="97" w16cid:durableId="2083989894">
    <w:abstractNumId w:val="71"/>
  </w:num>
  <w:num w:numId="98" w16cid:durableId="610475979">
    <w:abstractNumId w:val="71"/>
    <w:lvlOverride w:ilvl="0">
      <w:startOverride w:val="2"/>
    </w:lvlOverride>
  </w:num>
  <w:num w:numId="99" w16cid:durableId="1146044282">
    <w:abstractNumId w:val="13"/>
  </w:num>
  <w:num w:numId="100" w16cid:durableId="1005018824">
    <w:abstractNumId w:val="13"/>
    <w:lvlOverride w:ilvl="0">
      <w:startOverride w:val="3"/>
    </w:lvlOverride>
  </w:num>
  <w:num w:numId="101" w16cid:durableId="1098327575">
    <w:abstractNumId w:val="83"/>
  </w:num>
  <w:num w:numId="102" w16cid:durableId="1070886155">
    <w:abstractNumId w:val="83"/>
    <w:lvlOverride w:ilvl="0">
      <w:startOverride w:val="4"/>
    </w:lvlOverride>
  </w:num>
  <w:num w:numId="103" w16cid:durableId="525679537">
    <w:abstractNumId w:val="75"/>
  </w:num>
  <w:num w:numId="104" w16cid:durableId="1156143223">
    <w:abstractNumId w:val="35"/>
  </w:num>
  <w:num w:numId="105" w16cid:durableId="304895472">
    <w:abstractNumId w:val="35"/>
    <w:lvlOverride w:ilvl="0">
      <w:startOverride w:val="5"/>
    </w:lvlOverride>
  </w:num>
  <w:num w:numId="106" w16cid:durableId="2123567731">
    <w:abstractNumId w:val="5"/>
  </w:num>
  <w:num w:numId="107" w16cid:durableId="1976131843">
    <w:abstractNumId w:val="11"/>
  </w:num>
  <w:num w:numId="108" w16cid:durableId="1899778611">
    <w:abstractNumId w:val="95"/>
  </w:num>
  <w:num w:numId="109" w16cid:durableId="2144762707">
    <w:abstractNumId w:val="95"/>
    <w:lvlOverride w:ilvl="0">
      <w:startOverride w:val="6"/>
    </w:lvlOverride>
  </w:num>
  <w:num w:numId="110" w16cid:durableId="1344865979">
    <w:abstractNumId w:val="76"/>
  </w:num>
  <w:num w:numId="111" w16cid:durableId="538055812">
    <w:abstractNumId w:val="76"/>
    <w:lvlOverride w:ilvl="0">
      <w:startOverride w:val="7"/>
    </w:lvlOverride>
  </w:num>
  <w:num w:numId="112" w16cid:durableId="1616668919">
    <w:abstractNumId w:val="23"/>
  </w:num>
  <w:num w:numId="113" w16cid:durableId="903949450">
    <w:abstractNumId w:val="23"/>
    <w:lvlOverride w:ilvl="0">
      <w:startOverride w:val="8"/>
    </w:lvlOverride>
  </w:num>
  <w:num w:numId="114" w16cid:durableId="1297371493">
    <w:abstractNumId w:val="14"/>
  </w:num>
  <w:num w:numId="115" w16cid:durableId="2066290763">
    <w:abstractNumId w:val="89"/>
  </w:num>
  <w:num w:numId="116" w16cid:durableId="1538665193">
    <w:abstractNumId w:val="4"/>
  </w:num>
  <w:num w:numId="117" w16cid:durableId="1968536847">
    <w:abstractNumId w:val="56"/>
  </w:num>
  <w:num w:numId="118" w16cid:durableId="114711954">
    <w:abstractNumId w:val="42"/>
  </w:num>
  <w:num w:numId="119" w16cid:durableId="766075398">
    <w:abstractNumId w:val="94"/>
  </w:num>
  <w:num w:numId="120" w16cid:durableId="945844245">
    <w:abstractNumId w:val="37"/>
  </w:num>
  <w:num w:numId="121" w16cid:durableId="845631069">
    <w:abstractNumId w:val="40"/>
  </w:num>
  <w:num w:numId="122" w16cid:durableId="1897011296">
    <w:abstractNumId w:val="84"/>
  </w:num>
  <w:num w:numId="123" w16cid:durableId="1165172908">
    <w:abstractNumId w:val="7"/>
  </w:num>
  <w:num w:numId="124" w16cid:durableId="824320118">
    <w:abstractNumId w:val="78"/>
  </w:num>
  <w:num w:numId="125" w16cid:durableId="1348169675">
    <w:abstractNumId w:val="6"/>
  </w:num>
  <w:num w:numId="126" w16cid:durableId="871116304">
    <w:abstractNumId w:val="90"/>
  </w:num>
  <w:num w:numId="127" w16cid:durableId="11795465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displayBackgroundShape/>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394"/>
    <w:rsid w:val="00115BFA"/>
    <w:rsid w:val="00240771"/>
    <w:rsid w:val="002964BB"/>
    <w:rsid w:val="002F4514"/>
    <w:rsid w:val="00325D70"/>
    <w:rsid w:val="00485A18"/>
    <w:rsid w:val="005A7D17"/>
    <w:rsid w:val="006469DC"/>
    <w:rsid w:val="00667ABB"/>
    <w:rsid w:val="00796D78"/>
    <w:rsid w:val="008A1350"/>
    <w:rsid w:val="008D1391"/>
    <w:rsid w:val="00914394"/>
    <w:rsid w:val="00BD16DB"/>
    <w:rsid w:val="00D1674F"/>
    <w:rsid w:val="00D45540"/>
    <w:rsid w:val="00D45881"/>
    <w:rsid w:val="00D57B1D"/>
    <w:rsid w:val="00F52712"/>
    <w:rsid w:val="00FE50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38B753D"/>
  <w15:docId w15:val="{6C7B637D-5036-904E-8617-B6DAFDB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3">
    <w:name w:val="heading 3"/>
    <w:next w:val="Textbody"/>
    <w:uiPriority w:val="9"/>
    <w:unhideWhenUsed/>
    <w:qFormat/>
    <w:pPr>
      <w:keepNext/>
      <w:suppressAutoHyphens/>
      <w:spacing w:before="240" w:after="60"/>
      <w:outlineLvl w:val="2"/>
    </w:pPr>
    <w:rPr>
      <w:rFonts w:ascii="Cambria" w:hAnsi="Cambria" w:cs="Arial Unicode MS"/>
      <w:b/>
      <w:bCs/>
      <w:color w:val="000000"/>
      <w:kern w:val="3"/>
      <w:sz w:val="26"/>
      <w:szCs w:val="26"/>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513"/>
        <w:tab w:val="right" w:pos="9026"/>
      </w:tabs>
      <w:suppressAutoHyphens/>
    </w:pPr>
    <w:rPr>
      <w:rFonts w:cs="Arial Unicode MS"/>
      <w:color w:val="000000"/>
      <w:kern w:val="3"/>
      <w:sz w:val="24"/>
      <w:szCs w:val="24"/>
      <w:u w:color="000000"/>
    </w:rPr>
  </w:style>
  <w:style w:type="paragraph" w:customStyle="1" w:styleId="Standard">
    <w:name w:val="Standard"/>
    <w:rPr>
      <w:rFonts w:cs="Arial Unicode MS"/>
      <w:color w:val="000000"/>
      <w:kern w:val="3"/>
      <w:sz w:val="24"/>
      <w:szCs w:val="24"/>
      <w:u w:color="000000"/>
    </w:rPr>
  </w:style>
  <w:style w:type="character" w:customStyle="1" w:styleId="Hyperlink5">
    <w:name w:val="Hyperlink.5"/>
  </w:style>
  <w:style w:type="paragraph" w:customStyle="1" w:styleId="Default">
    <w:name w:val="Default"/>
    <w:rPr>
      <w:rFonts w:ascii="Arial" w:eastAsia="Arial" w:hAnsi="Arial" w:cs="Arial"/>
      <w:color w:val="000000"/>
      <w:kern w:val="3"/>
      <w:sz w:val="24"/>
      <w:szCs w:val="24"/>
      <w:u w:color="000000"/>
    </w:rPr>
  </w:style>
  <w:style w:type="paragraph" w:customStyle="1" w:styleId="Textbody">
    <w:name w:val="Text body"/>
    <w:pPr>
      <w:widowControl w:val="0"/>
      <w:suppressAutoHyphens/>
      <w:jc w:val="both"/>
    </w:pPr>
    <w:rPr>
      <w:rFonts w:cs="Arial Unicode MS"/>
      <w:color w:val="000000"/>
      <w:kern w:val="3"/>
      <w:sz w:val="24"/>
      <w:szCs w:val="24"/>
      <w:u w:color="000000"/>
    </w:rPr>
  </w:style>
  <w:style w:type="character" w:customStyle="1" w:styleId="Nessuno">
    <w:name w:val="Nessuno"/>
  </w:style>
  <w:style w:type="character" w:customStyle="1" w:styleId="Hyperlink0">
    <w:name w:val="Hyperlink.0"/>
    <w:basedOn w:val="Nessuno"/>
    <w:rPr>
      <w:rFonts w:ascii="Arial" w:eastAsia="Arial" w:hAnsi="Arial" w:cs="Arial"/>
      <w:outline w:val="0"/>
      <w:color w:val="000000"/>
      <w:sz w:val="22"/>
      <w:szCs w:val="22"/>
      <w:u w:val="single"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6"/>
      </w:numPr>
    </w:pPr>
  </w:style>
  <w:style w:type="numbering" w:customStyle="1" w:styleId="Stileimportato4">
    <w:name w:val="Stile importato 4"/>
    <w:pPr>
      <w:numPr>
        <w:numId w:val="9"/>
      </w:numPr>
    </w:pPr>
  </w:style>
  <w:style w:type="numbering" w:customStyle="1" w:styleId="Stileimportato5">
    <w:name w:val="Stile importato 5"/>
    <w:pPr>
      <w:numPr>
        <w:numId w:val="12"/>
      </w:numPr>
    </w:pPr>
  </w:style>
  <w:style w:type="numbering" w:customStyle="1" w:styleId="Stileimportato6">
    <w:name w:val="Stile importato 6"/>
    <w:pPr>
      <w:numPr>
        <w:numId w:val="15"/>
      </w:numPr>
    </w:pPr>
  </w:style>
  <w:style w:type="numbering" w:customStyle="1" w:styleId="Stileimportato7">
    <w:name w:val="Stile importato 7"/>
    <w:pPr>
      <w:numPr>
        <w:numId w:val="18"/>
      </w:numPr>
    </w:pPr>
  </w:style>
  <w:style w:type="numbering" w:customStyle="1" w:styleId="Stileimportato8">
    <w:name w:val="Stile importato 8"/>
    <w:pPr>
      <w:numPr>
        <w:numId w:val="21"/>
      </w:numPr>
    </w:pPr>
  </w:style>
  <w:style w:type="numbering" w:customStyle="1" w:styleId="WW8Num18">
    <w:name w:val="WW8Num18"/>
    <w:pPr>
      <w:numPr>
        <w:numId w:val="23"/>
      </w:numPr>
    </w:pPr>
  </w:style>
  <w:style w:type="numbering" w:customStyle="1" w:styleId="WW8Num51">
    <w:name w:val="WW8Num51"/>
    <w:pPr>
      <w:numPr>
        <w:numId w:val="25"/>
      </w:numPr>
    </w:pPr>
  </w:style>
  <w:style w:type="character" w:customStyle="1" w:styleId="Hyperlink1">
    <w:name w:val="Hyperlink.1"/>
    <w:basedOn w:val="Nessuno"/>
    <w:rPr>
      <w:outline w:val="0"/>
      <w:color w:val="467886"/>
      <w:u w:val="single" w:color="467886"/>
    </w:rPr>
  </w:style>
  <w:style w:type="character" w:customStyle="1" w:styleId="Hyperlink2">
    <w:name w:val="Hyperlink.2"/>
    <w:basedOn w:val="Nessuno"/>
    <w:rPr>
      <w:rFonts w:ascii="Arial" w:eastAsia="Arial" w:hAnsi="Arial" w:cs="Arial"/>
      <w:outline w:val="0"/>
      <w:color w:val="467886"/>
      <w:sz w:val="22"/>
      <w:szCs w:val="22"/>
      <w:u w:val="single" w:color="467886"/>
    </w:rPr>
  </w:style>
  <w:style w:type="paragraph" w:styleId="Testocommento">
    <w:name w:val="annotation text"/>
    <w:pPr>
      <w:suppressAutoHyphens/>
      <w:spacing w:line="276" w:lineRule="auto"/>
      <w:jc w:val="both"/>
    </w:pPr>
    <w:rPr>
      <w:rFonts w:ascii="Garamond" w:hAnsi="Garamond" w:cs="Arial Unicode MS"/>
      <w:color w:val="000000"/>
      <w:kern w:val="3"/>
      <w:u w:color="000000"/>
    </w:rPr>
  </w:style>
  <w:style w:type="paragraph" w:styleId="Paragrafoelenco">
    <w:name w:val="List Paragraph"/>
    <w:pPr>
      <w:suppressAutoHyphens/>
      <w:ind w:left="720"/>
    </w:pPr>
    <w:rPr>
      <w:rFonts w:cs="Arial Unicode MS"/>
      <w:color w:val="000000"/>
      <w:kern w:val="3"/>
      <w:sz w:val="24"/>
      <w:szCs w:val="24"/>
      <w:u w:color="000000"/>
    </w:rPr>
  </w:style>
  <w:style w:type="numbering" w:customStyle="1" w:styleId="WW8Num8">
    <w:name w:val="WW8Num8"/>
    <w:pPr>
      <w:numPr>
        <w:numId w:val="28"/>
      </w:numPr>
    </w:pPr>
  </w:style>
  <w:style w:type="character" w:customStyle="1" w:styleId="Hyperlink3">
    <w:name w:val="Hyperlink.3"/>
    <w:basedOn w:val="Nessuno"/>
    <w:rPr>
      <w:rFonts w:ascii="Arial" w:eastAsia="Arial" w:hAnsi="Arial" w:cs="Arial"/>
      <w:outline w:val="0"/>
      <w:color w:val="467886"/>
      <w:sz w:val="22"/>
      <w:szCs w:val="22"/>
      <w:u w:val="single" w:color="467886"/>
    </w:rPr>
  </w:style>
  <w:style w:type="numbering" w:customStyle="1" w:styleId="WW8Num16">
    <w:name w:val="WW8Num16"/>
    <w:pPr>
      <w:numPr>
        <w:numId w:val="30"/>
      </w:numPr>
    </w:pPr>
  </w:style>
  <w:style w:type="numbering" w:customStyle="1" w:styleId="Stileimportato9">
    <w:name w:val="Stile importato 9"/>
    <w:pPr>
      <w:numPr>
        <w:numId w:val="32"/>
      </w:numPr>
    </w:pPr>
  </w:style>
  <w:style w:type="numbering" w:customStyle="1" w:styleId="WW8Num25">
    <w:name w:val="WW8Num25"/>
    <w:pPr>
      <w:numPr>
        <w:numId w:val="35"/>
      </w:numPr>
    </w:pPr>
  </w:style>
  <w:style w:type="numbering" w:customStyle="1" w:styleId="Stileimportato10">
    <w:name w:val="Stile importato 10"/>
    <w:pPr>
      <w:numPr>
        <w:numId w:val="37"/>
      </w:numPr>
    </w:pPr>
  </w:style>
  <w:style w:type="numbering" w:customStyle="1" w:styleId="Stileimportato12">
    <w:name w:val="Stile importato 12"/>
    <w:pPr>
      <w:numPr>
        <w:numId w:val="39"/>
      </w:numPr>
    </w:pPr>
  </w:style>
  <w:style w:type="numbering" w:customStyle="1" w:styleId="Stileimportato13">
    <w:name w:val="Stile importato 13"/>
    <w:pPr>
      <w:numPr>
        <w:numId w:val="41"/>
      </w:numPr>
    </w:pPr>
  </w:style>
  <w:style w:type="numbering" w:customStyle="1" w:styleId="Stileimportato14">
    <w:name w:val="Stile importato 14"/>
    <w:pPr>
      <w:numPr>
        <w:numId w:val="43"/>
      </w:numPr>
    </w:pPr>
  </w:style>
  <w:style w:type="numbering" w:customStyle="1" w:styleId="Stileimportato15">
    <w:name w:val="Stile importato 15"/>
    <w:pPr>
      <w:numPr>
        <w:numId w:val="45"/>
      </w:numPr>
    </w:pPr>
  </w:style>
  <w:style w:type="numbering" w:customStyle="1" w:styleId="Stileimportato16">
    <w:name w:val="Stile importato 16"/>
    <w:pPr>
      <w:numPr>
        <w:numId w:val="47"/>
      </w:numPr>
    </w:pPr>
  </w:style>
  <w:style w:type="numbering" w:customStyle="1" w:styleId="Stileimportato17">
    <w:name w:val="Stile importato 17"/>
    <w:pPr>
      <w:numPr>
        <w:numId w:val="49"/>
      </w:numPr>
    </w:pPr>
  </w:style>
  <w:style w:type="numbering" w:customStyle="1" w:styleId="Stileimportato18">
    <w:name w:val="Stile importato 18"/>
    <w:pPr>
      <w:numPr>
        <w:numId w:val="51"/>
      </w:numPr>
    </w:pPr>
  </w:style>
  <w:style w:type="paragraph" w:customStyle="1" w:styleId="Paragrafoelenco1">
    <w:name w:val="Paragrafo elenco1"/>
    <w:pPr>
      <w:suppressAutoHyphens/>
      <w:spacing w:after="200" w:line="276" w:lineRule="auto"/>
      <w:ind w:left="720"/>
    </w:pPr>
    <w:rPr>
      <w:rFonts w:ascii="Calibri" w:hAnsi="Calibri" w:cs="Arial Unicode MS"/>
      <w:color w:val="000000"/>
      <w:kern w:val="3"/>
      <w:sz w:val="22"/>
      <w:szCs w:val="22"/>
      <w:u w:color="000000"/>
    </w:rPr>
  </w:style>
  <w:style w:type="character" w:customStyle="1" w:styleId="Hyperlink4">
    <w:name w:val="Hyperlink.4"/>
    <w:basedOn w:val="Nessuno"/>
    <w:rPr>
      <w:rFonts w:ascii="Arial" w:eastAsia="Arial" w:hAnsi="Arial" w:cs="Arial"/>
      <w:i/>
      <w:iCs/>
      <w:outline w:val="0"/>
      <w:color w:val="467886"/>
      <w:sz w:val="22"/>
      <w:szCs w:val="22"/>
      <w:u w:val="single" w:color="467886"/>
    </w:rPr>
  </w:style>
  <w:style w:type="numbering" w:customStyle="1" w:styleId="Stileimportato19">
    <w:name w:val="Stile importato 19"/>
    <w:pPr>
      <w:numPr>
        <w:numId w:val="53"/>
      </w:numPr>
    </w:pPr>
  </w:style>
  <w:style w:type="character" w:customStyle="1" w:styleId="Hyperlink6">
    <w:name w:val="Hyperlink.6"/>
    <w:basedOn w:val="Nessuno"/>
    <w:rPr>
      <w:rFonts w:ascii="Arial" w:eastAsia="Arial" w:hAnsi="Arial" w:cs="Arial"/>
      <w:i/>
      <w:iCs/>
      <w:outline w:val="0"/>
      <w:color w:val="000000"/>
      <w:sz w:val="22"/>
      <w:szCs w:val="22"/>
      <w:u w:val="single" w:color="000000"/>
    </w:rPr>
  </w:style>
  <w:style w:type="numbering" w:customStyle="1" w:styleId="Stileimportato20">
    <w:name w:val="Stile importato 20"/>
    <w:pPr>
      <w:numPr>
        <w:numId w:val="55"/>
      </w:numPr>
    </w:pPr>
  </w:style>
  <w:style w:type="numbering" w:customStyle="1" w:styleId="Stileimportato21">
    <w:name w:val="Stile importato 21"/>
    <w:pPr>
      <w:numPr>
        <w:numId w:val="60"/>
      </w:numPr>
    </w:pPr>
  </w:style>
  <w:style w:type="character" w:customStyle="1" w:styleId="Hyperlink7">
    <w:name w:val="Hyperlink.7"/>
    <w:basedOn w:val="Nessuno"/>
    <w:rPr>
      <w:outline w:val="0"/>
      <w:color w:val="000000"/>
      <w:u w:val="single" w:color="000000"/>
    </w:rPr>
  </w:style>
  <w:style w:type="numbering" w:customStyle="1" w:styleId="WW8Num9">
    <w:name w:val="WW8Num9"/>
    <w:pPr>
      <w:numPr>
        <w:numId w:val="62"/>
      </w:numPr>
    </w:pPr>
  </w:style>
  <w:style w:type="numbering" w:customStyle="1" w:styleId="WW8Num45">
    <w:name w:val="WW8Num45"/>
    <w:pPr>
      <w:numPr>
        <w:numId w:val="65"/>
      </w:numPr>
    </w:pPr>
  </w:style>
  <w:style w:type="numbering" w:customStyle="1" w:styleId="Stileimportato22">
    <w:name w:val="Stile importato 22"/>
    <w:pPr>
      <w:numPr>
        <w:numId w:val="67"/>
      </w:numPr>
    </w:pPr>
  </w:style>
  <w:style w:type="numbering" w:customStyle="1" w:styleId="WW8Num52">
    <w:name w:val="WW8Num52"/>
    <w:pPr>
      <w:numPr>
        <w:numId w:val="69"/>
      </w:numPr>
    </w:pPr>
  </w:style>
  <w:style w:type="numbering" w:customStyle="1" w:styleId="WW8Num3">
    <w:name w:val="WW8Num3"/>
    <w:pPr>
      <w:numPr>
        <w:numId w:val="72"/>
      </w:numPr>
    </w:pPr>
  </w:style>
  <w:style w:type="numbering" w:customStyle="1" w:styleId="Stileimportato23">
    <w:name w:val="Stile importato 23"/>
    <w:pPr>
      <w:numPr>
        <w:numId w:val="74"/>
      </w:numPr>
    </w:pPr>
  </w:style>
  <w:style w:type="numbering" w:customStyle="1" w:styleId="Stileimportato24">
    <w:name w:val="Stile importato 24"/>
    <w:pPr>
      <w:numPr>
        <w:numId w:val="76"/>
      </w:numPr>
    </w:pPr>
  </w:style>
  <w:style w:type="numbering" w:customStyle="1" w:styleId="Stileimportato25">
    <w:name w:val="Stile importato 25"/>
    <w:pPr>
      <w:numPr>
        <w:numId w:val="78"/>
      </w:numPr>
    </w:pPr>
  </w:style>
  <w:style w:type="numbering" w:customStyle="1" w:styleId="WW8Num17">
    <w:name w:val="WW8Num17"/>
    <w:pPr>
      <w:numPr>
        <w:numId w:val="80"/>
      </w:numPr>
    </w:pPr>
  </w:style>
  <w:style w:type="numbering" w:customStyle="1" w:styleId="WW8Num46">
    <w:name w:val="WW8Num46"/>
    <w:pPr>
      <w:numPr>
        <w:numId w:val="82"/>
      </w:numPr>
    </w:pPr>
  </w:style>
  <w:style w:type="numbering" w:customStyle="1" w:styleId="WW8Num22">
    <w:name w:val="WW8Num22"/>
    <w:pPr>
      <w:numPr>
        <w:numId w:val="84"/>
      </w:numPr>
    </w:pPr>
  </w:style>
  <w:style w:type="numbering" w:customStyle="1" w:styleId="WW8Num47">
    <w:name w:val="WW8Num47"/>
    <w:pPr>
      <w:numPr>
        <w:numId w:val="88"/>
      </w:numPr>
    </w:pPr>
  </w:style>
  <w:style w:type="numbering" w:customStyle="1" w:styleId="Stileimportato26">
    <w:name w:val="Stile importato 26"/>
    <w:pPr>
      <w:numPr>
        <w:numId w:val="90"/>
      </w:numPr>
    </w:pPr>
  </w:style>
  <w:style w:type="numbering" w:customStyle="1" w:styleId="Stileimportato27">
    <w:name w:val="Stile importato 27"/>
    <w:pPr>
      <w:numPr>
        <w:numId w:val="92"/>
      </w:numPr>
    </w:pPr>
  </w:style>
  <w:style w:type="numbering" w:customStyle="1" w:styleId="Stileimportato28">
    <w:name w:val="Stile importato 28"/>
    <w:pPr>
      <w:numPr>
        <w:numId w:val="94"/>
      </w:numPr>
    </w:pPr>
  </w:style>
  <w:style w:type="numbering" w:customStyle="1" w:styleId="WW8Num4">
    <w:name w:val="WW8Num4"/>
    <w:pPr>
      <w:numPr>
        <w:numId w:val="114"/>
      </w:numPr>
    </w:pPr>
  </w:style>
  <w:style w:type="numbering" w:customStyle="1" w:styleId="Stileimportato33">
    <w:name w:val="Stile importato 33"/>
    <w:pPr>
      <w:numPr>
        <w:numId w:val="116"/>
      </w:numPr>
    </w:pPr>
  </w:style>
  <w:style w:type="numbering" w:customStyle="1" w:styleId="Stileimportato34">
    <w:name w:val="Stile importato 34"/>
    <w:pPr>
      <w:numPr>
        <w:numId w:val="118"/>
      </w:numPr>
    </w:pPr>
  </w:style>
  <w:style w:type="paragraph" w:styleId="NormaleWeb">
    <w:name w:val="Normal (Web)"/>
    <w:pPr>
      <w:suppressAutoHyphens/>
      <w:spacing w:before="100" w:after="100"/>
    </w:pPr>
    <w:rPr>
      <w:rFonts w:cs="Arial Unicode MS"/>
      <w:color w:val="000000"/>
      <w:kern w:val="3"/>
      <w:sz w:val="24"/>
      <w:szCs w:val="24"/>
      <w:u w:color="000000"/>
    </w:rPr>
  </w:style>
  <w:style w:type="numbering" w:customStyle="1" w:styleId="Stileimportato130">
    <w:name w:val="Stile importato 13.0"/>
    <w:pPr>
      <w:numPr>
        <w:numId w:val="120"/>
      </w:numPr>
    </w:pPr>
  </w:style>
  <w:style w:type="numbering" w:customStyle="1" w:styleId="WW8Num5">
    <w:name w:val="WW8Num5"/>
    <w:pPr>
      <w:numPr>
        <w:numId w:val="122"/>
      </w:numPr>
    </w:pPr>
  </w:style>
  <w:style w:type="numbering" w:customStyle="1" w:styleId="Stileimportato35">
    <w:name w:val="Stile importato 35"/>
    <w:pPr>
      <w:numPr>
        <w:numId w:val="124"/>
      </w:numPr>
    </w:pPr>
  </w:style>
  <w:style w:type="numbering" w:customStyle="1" w:styleId="WW8Num13">
    <w:name w:val="WW8Num13"/>
    <w:pPr>
      <w:numPr>
        <w:numId w:val="126"/>
      </w:numPr>
    </w:pPr>
  </w:style>
  <w:style w:type="paragraph" w:styleId="Intestazione">
    <w:name w:val="header"/>
    <w:basedOn w:val="Normale"/>
    <w:link w:val="IntestazioneCarattere"/>
    <w:uiPriority w:val="99"/>
    <w:unhideWhenUsed/>
    <w:rsid w:val="00D57B1D"/>
    <w:pPr>
      <w:tabs>
        <w:tab w:val="center" w:pos="4819"/>
        <w:tab w:val="right" w:pos="9638"/>
      </w:tabs>
    </w:pPr>
  </w:style>
  <w:style w:type="character" w:customStyle="1" w:styleId="IntestazioneCarattere">
    <w:name w:val="Intestazione Carattere"/>
    <w:basedOn w:val="Carpredefinitoparagrafo"/>
    <w:link w:val="Intestazione"/>
    <w:uiPriority w:val="99"/>
    <w:rsid w:val="00D57B1D"/>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responsabile.settimosettore@provincia.siracusa.it" TargetMode="External"/><Relationship Id="rId18" Type="http://schemas.openxmlformats.org/officeDocument/2006/relationships/hyperlink" Target="http://www.bancaditalia.it/compiti/vigilanza/intermediari/index.html" TargetMode="External"/><Relationship Id="rId26" Type="http://schemas.openxmlformats.org/officeDocument/2006/relationships/hyperlink" Target="http://www.sistema-bdi.it/index.php?bdinr=21&amp;docnr=33208&amp;stato=lext" TargetMode="External"/><Relationship Id="rId3" Type="http://schemas.openxmlformats.org/officeDocument/2006/relationships/settings" Target="settings.xml"/><Relationship Id="rId21" Type="http://schemas.openxmlformats.org/officeDocument/2006/relationships/hyperlink" Target="https://www.anticorruzione.it/-/garanzie-finanziarie" TargetMode="External"/><Relationship Id="rId7" Type="http://schemas.openxmlformats.org/officeDocument/2006/relationships/image" Target="media/image1.png"/><Relationship Id="rId12" Type="http://schemas.openxmlformats.org/officeDocument/2006/relationships/hyperlink" Target="mailto:itsfondazionearchimede@pec.impresesiracusa.it" TargetMode="External"/><Relationship Id="rId17" Type="http://schemas.openxmlformats.org/officeDocument/2006/relationships/hyperlink" Target="https://lccsiracusa.tuttogare.it/norme_tecniche.php" TargetMode="External"/><Relationship Id="rId25" Type="http://schemas.openxmlformats.org/officeDocument/2006/relationships/hyperlink" Target="http://www.sistema-bdi.it/index.php?bdinr=21&amp;docnr=33208&amp;stato=lex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ccsiracusa.tuttogare.it/norme_tecniche.php" TargetMode="External"/><Relationship Id="rId20" Type="http://schemas.openxmlformats.org/officeDocument/2006/relationships/hyperlink" Target="http://www.ivass.it/ivass/imprese_jsp/HomePage.jsp" TargetMode="External"/><Relationship Id="rId29" Type="http://schemas.openxmlformats.org/officeDocument/2006/relationships/hyperlink" Target="https://lccsiracusa.tuttogare.it/norme_tecniche.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ts-fondazionearchimede.it" TargetMode="External"/><Relationship Id="rId24" Type="http://schemas.openxmlformats.org/officeDocument/2006/relationships/hyperlink" Target="https://lccsiracusa.tuttogare.i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ccsiracusa.tuttogare.it/" TargetMode="External"/><Relationship Id="rId23" Type="http://schemas.openxmlformats.org/officeDocument/2006/relationships/hyperlink" Target="https://lccsiracusa.tuttogare.it/norme_tecniche.php" TargetMode="External"/><Relationship Id="rId28" Type="http://schemas.openxmlformats.org/officeDocument/2006/relationships/hyperlink" Target="https://lccsiracusa.tuttogare.it/norme_tecniche.php" TargetMode="External"/><Relationship Id="rId10" Type="http://schemas.openxmlformats.org/officeDocument/2006/relationships/hyperlink" Target="https://lccsiracusa.tuttogare.it/" TargetMode="External"/><Relationship Id="rId19" Type="http://schemas.openxmlformats.org/officeDocument/2006/relationships/hyperlink" Target="http://www.bancaditalia.it/compiti/vigilanza/avvisi-pub/garanzie-finanziari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ettimo_settore@pec.provincia.siracusa.it" TargetMode="External"/><Relationship Id="rId22" Type="http://schemas.openxmlformats.org/officeDocument/2006/relationships/hyperlink" Target="https://www.anticorruzione.it/-/gestione-contributi-gara" TargetMode="External"/><Relationship Id="rId27" Type="http://schemas.openxmlformats.org/officeDocument/2006/relationships/hyperlink" Target="http://bd01.leggiditalia.it/cgi-bin/FulShow?TIPO=5&amp;NOTXT=1&amp;KEY=01LX0000107749ART67" TargetMode="External"/><Relationship Id="rId30" Type="http://schemas.openxmlformats.org/officeDocument/2006/relationships/hyperlink" Target="https://pnrr.istruzione.it/avviso/titolo-potenziamento-dellofferta-formativa-degli-its-academy/" TargetMode="External"/><Relationship Id="rId8"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32</Pages>
  <Words>19451</Words>
  <Characters>110873</Characters>
  <Application>Microsoft Office Word</Application>
  <DocSecurity>0</DocSecurity>
  <Lines>923</Lines>
  <Paragraphs>260</Paragraphs>
  <ScaleCrop>false</ScaleCrop>
  <Company/>
  <LinksUpToDate>false</LinksUpToDate>
  <CharactersWithSpaces>130064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Edoardo Villari</cp:lastModifiedBy>
  <cp:revision>12</cp:revision>
  <dcterms:created xsi:type="dcterms:W3CDTF">2024-10-23T14:15:00Z</dcterms:created>
  <dcterms:modified xsi:type="dcterms:W3CDTF">2024-10-28T11:29:00Z</dcterms:modified>
</cp:coreProperties>
</file>