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pBdr>
          <w:top w:val="single" w:sz="4" w:space="0" w:color="000000"/>
          <w:left w:val="single" w:sz="4" w:space="0" w:color="000000"/>
          <w:bottom w:val="single" w:sz="4" w:space="0" w:color="000000"/>
          <w:right w:val="single" w:sz="4" w:space="0" w:color="000000"/>
        </w:pBdr>
        <w:jc w:val="center"/>
        <w:rPr>
          <w:rFonts w:eastAsia="Arial" w:cs="Times New Roman"/>
        </w:rPr>
      </w:pPr>
      <w:r>
        <w:rPr>
          <w:rFonts w:cs="Times New Roman"/>
          <w:b/>
          <w:bCs/>
        </w:rPr>
        <w:t xml:space="preserve">PROCEDURA NEGOZIATA, SENZA PREVIA PUBBLICAZIONE DI UN BANDO, </w:t>
      </w:r>
      <w:r>
        <w:rPr>
          <w:rFonts w:eastAsia="Arial" w:cs="Times New Roman"/>
          <w:b/>
          <w:bCs/>
        </w:rPr>
        <w:br/>
      </w:r>
      <w:r>
        <w:rPr>
          <w:rFonts w:cs="Times New Roman"/>
          <w:b/>
          <w:bCs/>
        </w:rPr>
        <w:t>PER L’AFFIDAMENTO DI SERVIZI DI IMPORTO PARI O SUPERIORE A € 140.000,00</w:t>
      </w:r>
      <w:r>
        <w:rPr>
          <w:rFonts w:eastAsia="Arial" w:cs="Times New Roman"/>
          <w:b/>
          <w:bCs/>
        </w:rPr>
        <w:br/>
      </w:r>
      <w:r>
        <w:rPr>
          <w:rFonts w:cs="Times New Roman"/>
          <w:b/>
          <w:bCs/>
        </w:rPr>
        <w:t>E INFERIORE ALLA SOGLIA DI RILEVANZA EUROPEA DI CUI</w:t>
      </w:r>
      <w:r>
        <w:rPr>
          <w:rFonts w:eastAsia="Arial" w:cs="Times New Roman"/>
          <w:b/>
          <w:bCs/>
        </w:rPr>
        <w:br/>
      </w:r>
      <w:r>
        <w:rPr>
          <w:rFonts w:cs="Times New Roman"/>
          <w:b/>
          <w:bCs/>
        </w:rPr>
        <w:t xml:space="preserve">ALL’ART. 14 DEL </w:t>
      </w:r>
      <w:r>
        <w:rPr>
          <w:rFonts w:cs="Times New Roman"/>
          <w:b/>
          <w:bCs/>
          <w:u w:val="single"/>
        </w:rPr>
        <w:t>D.LGS. N. 36/2023</w:t>
      </w:r>
    </w:p>
    <w:p>
      <w:pPr>
        <w:pStyle w:val="Standard"/>
        <w:jc w:val="center"/>
        <w:rPr>
          <w:rFonts w:cs="Times New Roman"/>
          <w:b/>
          <w:b/>
          <w:bCs/>
        </w:rPr>
      </w:pPr>
      <w:r>
        <w:rPr>
          <w:rFonts w:eastAsia="Arial" w:cs="Times New Roman"/>
          <w:b/>
          <w:bCs/>
        </w:rPr>
        <w:br/>
      </w:r>
      <w:r>
        <w:rPr/>
        <w:drawing>
          <wp:inline distT="0" distB="0" distL="0" distR="0">
            <wp:extent cx="6116320" cy="600075"/>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2"/>
                    <a:stretch>
                      <a:fillRect/>
                    </a:stretch>
                  </pic:blipFill>
                  <pic:spPr bwMode="auto">
                    <a:xfrm>
                      <a:off x="0" y="0"/>
                      <a:ext cx="6116320" cy="600075"/>
                    </a:xfrm>
                    <a:prstGeom prst="rect">
                      <a:avLst/>
                    </a:prstGeom>
                  </pic:spPr>
                </pic:pic>
              </a:graphicData>
            </a:graphic>
          </wp:inline>
        </w:drawing>
      </w:r>
    </w:p>
    <w:p>
      <w:pPr>
        <w:pStyle w:val="Standard"/>
        <w:jc w:val="center"/>
        <w:rPr>
          <w:rFonts w:cs="Times New Roman"/>
          <w:b/>
          <w:b/>
          <w:bCs/>
        </w:rPr>
      </w:pPr>
      <w:r>
        <w:rPr>
          <w:rFonts w:cs="Times New Roman"/>
          <w:b/>
          <w:bCs/>
        </w:rPr>
      </w:r>
    </w:p>
    <w:p>
      <w:pPr>
        <w:pStyle w:val="Standard"/>
        <w:jc w:val="center"/>
        <w:rPr>
          <w:rFonts w:cs="Times New Roman"/>
          <w:b/>
          <w:b/>
          <w:bCs/>
        </w:rPr>
      </w:pPr>
      <w:r>
        <w:rPr>
          <w:rFonts w:cs="Times New Roman"/>
          <w:b/>
          <w:bCs/>
        </w:rPr>
      </w:r>
    </w:p>
    <w:p>
      <w:pPr>
        <w:pStyle w:val="Standard"/>
        <w:jc w:val="center"/>
        <w:rPr>
          <w:rFonts w:eastAsia="Arial" w:cs="Times New Roman"/>
          <w:b/>
          <w:b/>
          <w:bCs/>
        </w:rPr>
      </w:pPr>
      <w:r>
        <w:rPr>
          <w:rFonts w:eastAsia="Arial" w:cs="Times New Roman"/>
          <w:b/>
          <w:bCs/>
        </w:rPr>
      </w:r>
    </w:p>
    <w:p>
      <w:pPr>
        <w:pStyle w:val="Standard"/>
        <w:jc w:val="center"/>
        <w:rPr>
          <w:rFonts w:eastAsia="Arial" w:cs="Times New Roman"/>
          <w:b/>
          <w:b/>
          <w:bCs/>
        </w:rPr>
      </w:pPr>
      <w:r>
        <w:rPr>
          <w:rFonts w:eastAsia="Arial" w:cs="Times New Roman"/>
          <w:b/>
          <w:bCs/>
        </w:rPr>
        <w:t xml:space="preserve">VERBALE DI GARA N. 5 </w:t>
      </w:r>
    </w:p>
    <w:p>
      <w:pPr>
        <w:pStyle w:val="Standard"/>
        <w:jc w:val="center"/>
        <w:rPr>
          <w:rFonts w:eastAsia="Arial" w:cs="Times New Roman"/>
          <w:b/>
          <w:b/>
          <w:bCs/>
        </w:rPr>
      </w:pPr>
      <w:r>
        <w:rPr>
          <w:rFonts w:eastAsia="Arial" w:cs="Times New Roman"/>
          <w:b/>
          <w:bCs/>
          <w:color w:val="000000"/>
          <w:kern w:val="2"/>
          <w:sz w:val="24"/>
          <w:szCs w:val="24"/>
          <w:u w:val="none" w:color="000000"/>
          <w:lang w:eastAsia="it-IT"/>
        </w:rPr>
        <w:t>Seduta Riservata</w:t>
      </w:r>
    </w:p>
    <w:p>
      <w:pPr>
        <w:pStyle w:val="Standard"/>
        <w:jc w:val="center"/>
        <w:rPr>
          <w:rFonts w:eastAsia="Arial" w:cs="Times New Roman"/>
          <w:b/>
          <w:b/>
          <w:bCs/>
        </w:rPr>
      </w:pPr>
      <w:r>
        <w:rPr>
          <w:rFonts w:eastAsia="Arial" w:cs="Times New Roman"/>
          <w:b/>
          <w:bCs/>
        </w:rPr>
      </w:r>
    </w:p>
    <w:p>
      <w:pPr>
        <w:pStyle w:val="Standard"/>
        <w:tabs>
          <w:tab w:val="clear" w:pos="708"/>
          <w:tab w:val="right" w:pos="8222" w:leader="underscore"/>
        </w:tabs>
        <w:jc w:val="center"/>
        <w:rPr>
          <w:rFonts w:eastAsia="Arial" w:cs="Times New Roman"/>
          <w:b/>
          <w:b/>
          <w:bCs/>
        </w:rPr>
      </w:pPr>
      <w:r>
        <w:rPr>
          <w:rFonts w:cs="Times New Roman"/>
          <w:b/>
          <w:bCs/>
        </w:rPr>
        <w:t>LIBERO CONSORZIO COMUNALE DI SIRACUSA</w:t>
      </w:r>
    </w:p>
    <w:p>
      <w:pPr>
        <w:pStyle w:val="Standard"/>
        <w:tabs>
          <w:tab w:val="clear" w:pos="708"/>
          <w:tab w:val="right" w:pos="8222" w:leader="underscore"/>
        </w:tabs>
        <w:jc w:val="center"/>
        <w:rPr>
          <w:rFonts w:cs="Times New Roman"/>
          <w:b/>
          <w:b/>
          <w:bCs/>
        </w:rPr>
      </w:pPr>
      <w:r>
        <w:rPr>
          <w:rFonts w:cs="Times New Roman"/>
          <w:b/>
          <w:bCs/>
        </w:rPr>
      </w:r>
    </w:p>
    <w:p>
      <w:pPr>
        <w:pStyle w:val="Standard"/>
        <w:tabs>
          <w:tab w:val="clear" w:pos="708"/>
          <w:tab w:val="right" w:pos="8222" w:leader="underscore"/>
        </w:tabs>
        <w:jc w:val="center"/>
        <w:rPr>
          <w:rFonts w:eastAsia="Arial" w:cs="Times New Roman"/>
          <w:b/>
          <w:b/>
          <w:bCs/>
        </w:rPr>
      </w:pPr>
      <w:r>
        <w:rPr>
          <w:rFonts w:cs="Times New Roman"/>
          <w:b/>
          <w:bCs/>
        </w:rPr>
        <w:t>I.T.S. Academy Fondazione Archimede</w:t>
      </w:r>
    </w:p>
    <w:p>
      <w:pPr>
        <w:pStyle w:val="Standard"/>
        <w:tabs>
          <w:tab w:val="clear" w:pos="708"/>
          <w:tab w:val="right" w:pos="8222" w:leader="underscore"/>
        </w:tabs>
        <w:jc w:val="center"/>
        <w:rPr>
          <w:rFonts w:eastAsia="Arial" w:cs="Times New Roman"/>
          <w:b/>
          <w:b/>
          <w:bCs/>
          <w:i/>
          <w:i/>
          <w:iCs/>
        </w:rPr>
      </w:pPr>
      <w:r>
        <w:rPr>
          <w:rFonts w:eastAsia="Arial" w:cs="Times New Roman"/>
          <w:b/>
          <w:bCs/>
          <w:i/>
          <w:iCs/>
        </w:rPr>
      </w:r>
    </w:p>
    <w:p>
      <w:pPr>
        <w:pStyle w:val="Normal"/>
        <w:jc w:val="center"/>
        <w:rPr/>
      </w:pPr>
      <w:r>
        <w:rPr/>
        <w:drawing>
          <wp:inline distT="0" distB="0" distL="0" distR="0">
            <wp:extent cx="3874135" cy="843915"/>
            <wp:effectExtent l="0" t="0" r="0" b="0"/>
            <wp:docPr id="2" name="officeArt object" descr="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ficeArt object" descr="Immagine 2"/>
                    <pic:cNvPicPr>
                      <a:picLocks noChangeAspect="1" noChangeArrowheads="1"/>
                    </pic:cNvPicPr>
                  </pic:nvPicPr>
                  <pic:blipFill>
                    <a:blip r:embed="rId3"/>
                    <a:stretch>
                      <a:fillRect/>
                    </a:stretch>
                  </pic:blipFill>
                  <pic:spPr bwMode="auto">
                    <a:xfrm>
                      <a:off x="0" y="0"/>
                      <a:ext cx="3874135" cy="843915"/>
                    </a:xfrm>
                    <a:prstGeom prst="rect">
                      <a:avLst/>
                    </a:prstGeom>
                  </pic:spPr>
                </pic:pic>
              </a:graphicData>
            </a:graphic>
          </wp:inline>
        </w:drawing>
      </w:r>
    </w:p>
    <w:p>
      <w:pPr>
        <w:pStyle w:val="Default"/>
        <w:jc w:val="center"/>
        <w:rPr>
          <w:rFonts w:ascii="Times New Roman" w:hAnsi="Times New Roman" w:eastAsia="Times New Roman" w:cs="Times New Roman"/>
        </w:rPr>
      </w:pPr>
      <w:r>
        <w:rPr/>
        <w:drawing>
          <wp:inline distT="0" distB="0" distL="0" distR="0">
            <wp:extent cx="1932305" cy="1122680"/>
            <wp:effectExtent l="0" t="0" r="0" b="0"/>
            <wp:docPr id="3"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
                    <pic:cNvPicPr>
                      <a:picLocks noChangeAspect="1" noChangeArrowheads="1"/>
                    </pic:cNvPicPr>
                  </pic:nvPicPr>
                  <pic:blipFill>
                    <a:blip r:embed="rId4"/>
                    <a:stretch>
                      <a:fillRect/>
                    </a:stretch>
                  </pic:blipFill>
                  <pic:spPr bwMode="auto">
                    <a:xfrm>
                      <a:off x="0" y="0"/>
                      <a:ext cx="1932305" cy="1122680"/>
                    </a:xfrm>
                    <a:prstGeom prst="rect">
                      <a:avLst/>
                    </a:prstGeom>
                  </pic:spPr>
                </pic:pic>
              </a:graphicData>
            </a:graphic>
          </wp:inline>
        </w:drawing>
      </w:r>
    </w:p>
    <w:p>
      <w:pPr>
        <w:pStyle w:val="Standard"/>
        <w:tabs>
          <w:tab w:val="clear" w:pos="708"/>
          <w:tab w:val="right" w:pos="8222" w:leader="underscore"/>
        </w:tabs>
        <w:rPr>
          <w:rFonts w:eastAsia="Arial" w:cs="Times New Roman"/>
        </w:rPr>
      </w:pPr>
      <w:r>
        <w:rPr>
          <w:rFonts w:eastAsia="Arial" w:cs="Times New Roman"/>
        </w:rPr>
      </w:r>
    </w:p>
    <w:p>
      <w:pPr>
        <w:pStyle w:val="Standard"/>
        <w:jc w:val="both"/>
        <w:rPr>
          <w:rFonts w:eastAsia="Arial" w:cs="Times New Roman"/>
          <w:i/>
          <w:i/>
          <w:iCs/>
        </w:rPr>
      </w:pPr>
      <w:r>
        <w:rPr>
          <w:rFonts w:cs="Times New Roman"/>
          <w:i/>
          <w:iCs/>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pPr>
        <w:pStyle w:val="Standard"/>
        <w:ind w:left="1701" w:right="1701" w:hanging="0"/>
        <w:rPr>
          <w:rFonts w:eastAsia="Arial" w:cs="Times New Roman"/>
          <w:i/>
          <w:i/>
          <w:iCs/>
        </w:rPr>
      </w:pPr>
      <w:r>
        <w:rPr>
          <w:rFonts w:cs="Times New Roman"/>
          <w:i/>
          <w:iCs/>
        </w:rPr>
        <w:t>“</w:t>
      </w:r>
      <w:r>
        <w:rPr>
          <w:rFonts w:cs="Times New Roman"/>
          <w:i/>
          <w:iCs/>
        </w:rPr>
        <w:t>Finanziato dall’Unione europea – Next Generation EU”</w:t>
      </w:r>
    </w:p>
    <w:p>
      <w:pPr>
        <w:pStyle w:val="Standard"/>
        <w:ind w:left="1701" w:right="1701" w:hanging="0"/>
        <w:jc w:val="center"/>
        <w:rPr>
          <w:rFonts w:eastAsia="Arial" w:cs="Times New Roman"/>
        </w:rPr>
      </w:pPr>
      <w:r>
        <w:rPr>
          <w:rFonts w:eastAsia="Arial" w:cs="Times New Roman"/>
        </w:rPr>
      </w:r>
    </w:p>
    <w:p>
      <w:pPr>
        <w:pStyle w:val="Standard"/>
        <w:ind w:left="1701" w:right="1701" w:hanging="0"/>
        <w:jc w:val="center"/>
        <w:rPr>
          <w:rFonts w:eastAsia="Arial" w:cs="Times New Roman"/>
        </w:rPr>
      </w:pPr>
      <w:r>
        <w:rPr>
          <w:rFonts w:eastAsia="Arial" w:cs="Times New Roman"/>
        </w:rPr>
      </w:r>
    </w:p>
    <w:tbl>
      <w:tblPr>
        <w:tblStyle w:val="TableNormal"/>
        <w:tblW w:w="9679" w:type="dxa"/>
        <w:jc w:val="center"/>
        <w:tblInd w:w="0" w:type="dxa"/>
        <w:tblCellMar>
          <w:top w:w="80" w:type="dxa"/>
          <w:left w:w="80" w:type="dxa"/>
          <w:bottom w:w="80" w:type="dxa"/>
          <w:right w:w="80" w:type="dxa"/>
        </w:tblCellMar>
        <w:tblLook w:firstRow="1" w:noVBand="1" w:lastRow="0" w:firstColumn="1" w:lastColumn="0" w:noHBand="0" w:val="04a0"/>
      </w:tblPr>
      <w:tblGrid>
        <w:gridCol w:w="9679"/>
      </w:tblGrid>
      <w:tr>
        <w:trPr>
          <w:trHeight w:val="753" w:hRule="atLeast"/>
        </w:trPr>
        <w:tc>
          <w:tcPr>
            <w:tcW w:w="9679" w:type="dxa"/>
            <w:tcBorders>
              <w:top w:val="single" w:sz="8" w:space="0" w:color="000000"/>
              <w:left w:val="single" w:sz="8" w:space="0" w:color="000000"/>
              <w:bottom w:val="single" w:sz="8" w:space="0" w:color="000000"/>
              <w:right w:val="single" w:sz="8" w:space="0" w:color="000000"/>
            </w:tcBorders>
            <w:shd w:color="auto" w:fill="auto" w:val="clear"/>
          </w:tcPr>
          <w:p>
            <w:pPr>
              <w:pStyle w:val="Standard"/>
              <w:suppressAutoHyphens w:val="true"/>
              <w:jc w:val="both"/>
              <w:rPr>
                <w:rFonts w:eastAsia="Arial" w:cs="Times New Roman"/>
                <w:b/>
                <w:b/>
                <w:bCs/>
              </w:rPr>
            </w:pPr>
            <w:r>
              <w:rPr>
                <w:rFonts w:cs="Times New Roman"/>
              </w:rPr>
              <w:t>OGGETTO:</w:t>
            </w:r>
            <w:r>
              <w:rPr>
                <w:rFonts w:eastAsia="Arial" w:cs="Times New Roman"/>
                <w:smallCaps/>
              </w:rPr>
              <w:tab/>
            </w:r>
            <w:r>
              <w:rPr>
                <w:rFonts w:cs="Times New Roman"/>
                <w:b/>
                <w:bCs/>
              </w:rPr>
              <w:t xml:space="preserve">Procedura negoziata per l’affidamento del servizio di </w:t>
            </w:r>
            <w:r>
              <w:rPr>
                <w:rFonts w:cs="Times New Roman"/>
                <w:b/>
                <w:bCs/>
                <w:u w:val="single" w:color="000000"/>
              </w:rPr>
              <w:t>orientamento di gruppo</w:t>
            </w:r>
            <w:r>
              <w:rPr>
                <w:rFonts w:cs="Times New Roman"/>
                <w:b/>
                <w:bCs/>
              </w:rPr>
              <w:t xml:space="preserve"> nell’ambito della Azione “Potenziamento offerta formativa ITS Academy”</w:t>
            </w:r>
          </w:p>
        </w:tc>
      </w:tr>
    </w:tbl>
    <w:p>
      <w:pPr>
        <w:pStyle w:val="Normal"/>
        <w:rPr>
          <w:rFonts w:eastAsia="Arial"/>
          <w:b/>
          <w:b/>
          <w:bCs/>
        </w:rPr>
      </w:pPr>
      <w:r>
        <w:rPr>
          <w:rFonts w:eastAsia="Arial"/>
          <w:b/>
          <w:bCs/>
        </w:rPr>
      </w:r>
    </w:p>
    <w:p>
      <w:pPr>
        <w:pStyle w:val="Normal"/>
        <w:rPr/>
      </w:pPr>
      <w:r>
        <w:rPr/>
      </w:r>
      <w:r>
        <w:br w:type="page"/>
      </w:r>
    </w:p>
    <w:p>
      <w:pPr>
        <w:pStyle w:val="Standard"/>
        <w:jc w:val="both"/>
        <w:rPr>
          <w:rFonts w:eastAsia="Arial" w:cs="Times New Roman"/>
          <w:b/>
          <w:b/>
          <w:bCs/>
        </w:rPr>
      </w:pPr>
      <w:r>
        <w:rPr>
          <w:rFonts w:cs="Times New Roman"/>
          <w:b/>
          <w:bCs/>
        </w:rPr>
        <w:t>Procedura negoziata per l’affidamento del servizio di orientamento di gruppo nell’ambito della Azione “Potenziamento offerta formativa ITS Academy” - Codice CUP H64D23001720006 – CIG B4101299E8</w:t>
      </w:r>
    </w:p>
    <w:p>
      <w:pPr>
        <w:pStyle w:val="Standard"/>
        <w:jc w:val="both"/>
        <w:rPr>
          <w:rFonts w:eastAsia="Arial" w:cs="Times New Roman"/>
          <w:b/>
          <w:b/>
          <w:bCs/>
        </w:rPr>
      </w:pPr>
      <w:r>
        <w:rPr>
          <w:rFonts w:eastAsia="Arial" w:cs="Times New Roman"/>
          <w:b/>
          <w:bCs/>
        </w:rPr>
      </w:r>
    </w:p>
    <w:p>
      <w:pPr>
        <w:pStyle w:val="Standard"/>
        <w:jc w:val="both"/>
        <w:rPr>
          <w:b/>
          <w:b/>
          <w:bCs/>
        </w:rPr>
      </w:pPr>
      <w:r>
        <w:rPr>
          <w:rFonts w:eastAsia="Arial" w:cs="Times New Roman"/>
          <w:b/>
          <w:bCs/>
        </w:rPr>
        <w:t>Premesso che:</w:t>
      </w:r>
    </w:p>
    <w:p>
      <w:pPr>
        <w:pStyle w:val="Standard"/>
        <w:jc w:val="both"/>
        <w:rPr>
          <w:b w:val="false"/>
          <w:b w:val="false"/>
          <w:bCs w:val="false"/>
        </w:rPr>
      </w:pPr>
      <w:r>
        <w:rPr>
          <w:rFonts w:eastAsia="Arial" w:cs="Times New Roman"/>
          <w:b w:val="false"/>
          <w:bCs w:val="false"/>
        </w:rPr>
        <w:t>-  in data 05/12/2024, il RUP, in seduta pubblica, ha proceduto ai sensi dell’art. 93 comma 1 del D.L.gs 36/2023, alla nomina della commissione giudicatrice che è così composta:</w:t>
      </w:r>
    </w:p>
    <w:p>
      <w:pPr>
        <w:pStyle w:val="Standard"/>
        <w:jc w:val="both"/>
        <w:rPr>
          <w:b w:val="false"/>
          <w:b w:val="false"/>
          <w:bCs w:val="false"/>
        </w:rPr>
      </w:pPr>
      <w:r>
        <w:rPr>
          <w:rFonts w:eastAsia="Arial" w:cs="Times New Roman"/>
          <w:b w:val="false"/>
          <w:bCs w:val="false"/>
        </w:rPr>
        <w:t>Dr. Gangi Salvatore che svolgerà le funzioni di Presidente;</w:t>
      </w:r>
    </w:p>
    <w:p>
      <w:pPr>
        <w:pStyle w:val="Standard"/>
        <w:jc w:val="both"/>
        <w:rPr>
          <w:b w:val="false"/>
          <w:b w:val="false"/>
          <w:bCs w:val="false"/>
        </w:rPr>
      </w:pPr>
      <w:r>
        <w:rPr>
          <w:rFonts w:eastAsia="Arial" w:cs="Times New Roman"/>
          <w:b w:val="false"/>
          <w:bCs w:val="false"/>
        </w:rPr>
        <w:t>Dott.ssa Sarcià Caterina Componente;</w:t>
      </w:r>
    </w:p>
    <w:p>
      <w:pPr>
        <w:pStyle w:val="Standard"/>
        <w:jc w:val="both"/>
        <w:rPr>
          <w:b w:val="false"/>
          <w:b w:val="false"/>
          <w:bCs w:val="false"/>
        </w:rPr>
      </w:pPr>
      <w:r>
        <w:rPr>
          <w:rFonts w:eastAsia="Arial" w:cs="Times New Roman"/>
          <w:b w:val="false"/>
          <w:bCs w:val="false"/>
        </w:rPr>
        <w:t>Dott. Miceli Emanuele Componente.</w:t>
      </w:r>
    </w:p>
    <w:p>
      <w:pPr>
        <w:pStyle w:val="Standard"/>
        <w:jc w:val="both"/>
        <w:rPr>
          <w:b w:val="false"/>
          <w:b w:val="false"/>
          <w:bCs w:val="false"/>
        </w:rPr>
      </w:pPr>
      <w:r>
        <w:rPr>
          <w:rFonts w:eastAsia="Arial" w:cs="Times New Roman"/>
          <w:b w:val="false"/>
          <w:bCs w:val="false"/>
        </w:rPr>
        <w:t xml:space="preserve">Le funzioni di segretario verbalizzante </w:t>
      </w:r>
      <w:r>
        <w:rPr>
          <w:rFonts w:eastAsia="Arial" w:cs="Times New Roman"/>
          <w:b w:val="false"/>
          <w:bCs w:val="false"/>
          <w:color w:val="000000"/>
          <w:kern w:val="2"/>
          <w:sz w:val="24"/>
          <w:szCs w:val="24"/>
          <w:u w:val="none" w:color="000000"/>
          <w:lang w:val="it-IT" w:eastAsia="it-IT" w:bidi="ar-SA"/>
        </w:rPr>
        <w:t xml:space="preserve">sono state </w:t>
      </w:r>
      <w:r>
        <w:rPr>
          <w:rFonts w:eastAsia="Arial" w:cs="Times New Roman"/>
          <w:b w:val="false"/>
          <w:bCs w:val="false"/>
        </w:rPr>
        <w:t xml:space="preserve"> svolte dal Sig. Berti Ezio.</w:t>
      </w:r>
    </w:p>
    <w:p>
      <w:pPr>
        <w:pStyle w:val="Standard"/>
        <w:jc w:val="both"/>
        <w:rPr>
          <w:b w:val="false"/>
          <w:b w:val="false"/>
          <w:bCs w:val="false"/>
        </w:rPr>
      </w:pPr>
      <w:r>
        <w:rPr>
          <w:rFonts w:eastAsia="Arial" w:cs="Times New Roman"/>
          <w:b w:val="false"/>
          <w:bCs w:val="false"/>
        </w:rPr>
        <w:t xml:space="preserve">- con il  verbale n. 1 del 11/11/2024, si prendeva atto  che entro il termine di scadenza previsto per il 09/11/2024, </w:t>
      </w:r>
      <w:r>
        <w:rPr>
          <w:rFonts w:eastAsia="Arial" w:cs="Times New Roman"/>
          <w:b w:val="false"/>
          <w:bCs w:val="false"/>
          <w:color w:val="000000"/>
          <w:kern w:val="2"/>
          <w:sz w:val="24"/>
          <w:szCs w:val="24"/>
          <w:u w:val="none" w:color="000000"/>
          <w:lang w:val="it-IT" w:eastAsia="it-IT" w:bidi="ar-SA"/>
        </w:rPr>
        <w:t xml:space="preserve">erano </w:t>
      </w:r>
      <w:r>
        <w:rPr>
          <w:rFonts w:eastAsia="Arial" w:cs="Times New Roman"/>
          <w:b w:val="false"/>
          <w:bCs w:val="false"/>
        </w:rPr>
        <w:t>pervenute  n. 2 richieste di manifestazione di interesse come di seguito elencate:</w:t>
      </w:r>
    </w:p>
    <w:p>
      <w:pPr>
        <w:pStyle w:val="NormalWeb"/>
        <w:shd w:val="clear" w:color="auto" w:fill="FFFFFF"/>
        <w:spacing w:beforeAutospacing="0" w:before="0" w:afterAutospacing="0" w:after="0"/>
        <w:rPr/>
      </w:pPr>
      <w:r>
        <w:rPr/>
      </w:r>
    </w:p>
    <w:tbl>
      <w:tblPr>
        <w:tblStyle w:val="Grigliatabella"/>
        <w:tblW w:w="7221" w:type="dxa"/>
        <w:jc w:val="center"/>
        <w:tblInd w:w="0" w:type="dxa"/>
        <w:tblCellMar>
          <w:top w:w="0" w:type="dxa"/>
          <w:left w:w="108" w:type="dxa"/>
          <w:bottom w:w="0" w:type="dxa"/>
          <w:right w:w="108" w:type="dxa"/>
        </w:tblCellMar>
        <w:tblLook w:firstRow="1" w:noVBand="1" w:lastRow="0" w:firstColumn="1" w:lastColumn="0" w:noHBand="0" w:val="04a0"/>
      </w:tblPr>
      <w:tblGrid>
        <w:gridCol w:w="844"/>
        <w:gridCol w:w="3970"/>
        <w:gridCol w:w="2407"/>
      </w:tblGrid>
      <w:tr>
        <w:trPr/>
        <w:tc>
          <w:tcPr>
            <w:tcW w:w="844" w:type="dxa"/>
            <w:tcBorders/>
          </w:tcPr>
          <w:p>
            <w:pPr>
              <w:pStyle w:val="NormalWeb"/>
              <w:spacing w:beforeAutospacing="0" w:before="0" w:afterAutospacing="0" w:after="0"/>
              <w:jc w:val="center"/>
              <w:rPr>
                <w:b/>
                <w:b/>
                <w:bCs/>
              </w:rPr>
            </w:pPr>
            <w:r>
              <w:rPr>
                <w:b/>
                <w:bCs/>
              </w:rPr>
              <w:t>N.</w:t>
            </w:r>
          </w:p>
        </w:tc>
        <w:tc>
          <w:tcPr>
            <w:tcW w:w="3970" w:type="dxa"/>
            <w:tcBorders/>
          </w:tcPr>
          <w:p>
            <w:pPr>
              <w:pStyle w:val="NormalWeb"/>
              <w:spacing w:beforeAutospacing="0" w:before="0" w:afterAutospacing="0" w:after="0"/>
              <w:jc w:val="center"/>
              <w:rPr>
                <w:b/>
                <w:b/>
                <w:bCs/>
              </w:rPr>
            </w:pPr>
            <w:r>
              <w:rPr>
                <w:b/>
                <w:bCs/>
              </w:rPr>
              <w:t>Identificativo interno</w:t>
            </w:r>
          </w:p>
        </w:tc>
        <w:tc>
          <w:tcPr>
            <w:tcW w:w="2407" w:type="dxa"/>
            <w:tcBorders/>
          </w:tcPr>
          <w:p>
            <w:pPr>
              <w:pStyle w:val="NormalWeb"/>
              <w:spacing w:beforeAutospacing="0" w:before="0" w:afterAutospacing="0" w:after="0"/>
              <w:jc w:val="center"/>
              <w:rPr>
                <w:b/>
                <w:b/>
                <w:bCs/>
              </w:rPr>
            </w:pPr>
            <w:r>
              <w:rPr>
                <w:b/>
                <w:bCs/>
              </w:rPr>
              <w:t>Data e ora ricezione</w:t>
            </w:r>
          </w:p>
        </w:tc>
      </w:tr>
      <w:tr>
        <w:trPr/>
        <w:tc>
          <w:tcPr>
            <w:tcW w:w="844" w:type="dxa"/>
            <w:tcBorders/>
          </w:tcPr>
          <w:p>
            <w:pPr>
              <w:pStyle w:val="NormalWeb"/>
              <w:spacing w:beforeAutospacing="0" w:before="0" w:afterAutospacing="0" w:after="0"/>
              <w:jc w:val="center"/>
              <w:rPr/>
            </w:pPr>
            <w:r>
              <w:rPr/>
              <w:t>1</w:t>
            </w:r>
          </w:p>
        </w:tc>
        <w:tc>
          <w:tcPr>
            <w:tcW w:w="3970" w:type="dxa"/>
            <w:tcBorders/>
          </w:tcPr>
          <w:p>
            <w:pPr>
              <w:pStyle w:val="NormalWeb"/>
              <w:spacing w:beforeAutospacing="0" w:before="0" w:afterAutospacing="0" w:after="0"/>
              <w:jc w:val="center"/>
              <w:rPr/>
            </w:pPr>
            <w:r>
              <w:rPr>
                <w:b/>
                <w:bCs/>
              </w:rPr>
              <w:t>3312198</w:t>
            </w:r>
          </w:p>
        </w:tc>
        <w:tc>
          <w:tcPr>
            <w:tcW w:w="2407" w:type="dxa"/>
            <w:tcBorders/>
          </w:tcPr>
          <w:p>
            <w:pPr>
              <w:pStyle w:val="NormalWeb"/>
              <w:spacing w:beforeAutospacing="0" w:before="0" w:afterAutospacing="0" w:after="0"/>
              <w:jc w:val="center"/>
              <w:rPr/>
            </w:pPr>
            <w:r>
              <w:rPr/>
              <w:t>05/11/2024 12:03</w:t>
            </w:r>
          </w:p>
        </w:tc>
      </w:tr>
      <w:tr>
        <w:trPr/>
        <w:tc>
          <w:tcPr>
            <w:tcW w:w="844" w:type="dxa"/>
            <w:tcBorders/>
          </w:tcPr>
          <w:p>
            <w:pPr>
              <w:pStyle w:val="NormalWeb"/>
              <w:spacing w:beforeAutospacing="0" w:before="0" w:afterAutospacing="0" w:after="0"/>
              <w:jc w:val="center"/>
              <w:rPr/>
            </w:pPr>
            <w:r>
              <w:rPr/>
              <w:t>2</w:t>
            </w:r>
          </w:p>
        </w:tc>
        <w:tc>
          <w:tcPr>
            <w:tcW w:w="3970" w:type="dxa"/>
            <w:tcBorders/>
          </w:tcPr>
          <w:p>
            <w:pPr>
              <w:pStyle w:val="NormalWeb"/>
              <w:spacing w:beforeAutospacing="0" w:before="0" w:afterAutospacing="0" w:after="0"/>
              <w:jc w:val="center"/>
              <w:rPr/>
            </w:pPr>
            <w:r>
              <w:rPr>
                <w:b/>
                <w:bCs/>
              </w:rPr>
              <w:t>3318717</w:t>
            </w:r>
          </w:p>
        </w:tc>
        <w:tc>
          <w:tcPr>
            <w:tcW w:w="2407" w:type="dxa"/>
            <w:tcBorders/>
          </w:tcPr>
          <w:p>
            <w:pPr>
              <w:pStyle w:val="NormalWeb"/>
              <w:spacing w:beforeAutospacing="0" w:before="0" w:afterAutospacing="0" w:after="0"/>
              <w:jc w:val="center"/>
              <w:rPr/>
            </w:pPr>
            <w:r>
              <w:rPr/>
              <w:t>07/11/2024 09:52</w:t>
            </w:r>
          </w:p>
        </w:tc>
      </w:tr>
    </w:tbl>
    <w:p>
      <w:pPr>
        <w:pStyle w:val="NormalWeb"/>
        <w:shd w:val="clear" w:color="auto" w:fill="FFFFFF"/>
        <w:spacing w:beforeAutospacing="0" w:before="0" w:afterAutospacing="0" w:after="0"/>
        <w:jc w:val="center"/>
        <w:rPr/>
      </w:pPr>
      <w:r>
        <w:rPr/>
      </w:r>
    </w:p>
    <w:p>
      <w:pPr>
        <w:pStyle w:val="NormalWeb"/>
        <w:numPr>
          <w:ilvl w:val="0"/>
          <w:numId w:val="1"/>
        </w:numPr>
        <w:shd w:val="clear" w:color="auto" w:fill="FFFFFF"/>
        <w:spacing w:beforeAutospacing="0" w:before="0" w:afterAutospacing="0" w:after="0"/>
        <w:jc w:val="both"/>
        <w:rPr>
          <w:rStyle w:val="CollegamentoInternet"/>
          <w:color w:val="auto"/>
          <w:u w:val="none"/>
        </w:rPr>
      </w:pPr>
      <w:r>
        <w:rPr/>
        <w:t>l’art. 50 co. 1 lett e) del D.Lgs 36/2023: “</w:t>
      </w:r>
      <w:r>
        <w:rPr>
          <w:i/>
          <w:iCs/>
        </w:rPr>
        <w:t>Salvo quanto previsto dagli articoli 62 e 63, le stazioni appaltanti procedono all’affidamento dei contratti di lavori, servizi e forniture di importo inferiore alle soglie di cui all’articolo 14 con le seguenti modalità: […] e) procedura negoziata senza bando, previa consultazione di almeno cinque operatori economici, ove esistenti, individuati in base ad indagini di mercato o tramite elenchi di operatori economici, per l’affidamento di servizi e forniture, ivi compresi i servizi di ingegneria e architettura e l’attività di progettazione, di importo pari o superiore a 140.000 euro e fino alle soglie di cui all’articolo 14</w:t>
      </w:r>
      <w:r>
        <w:rPr/>
        <w:t>.”. Pertanto, al fine di acquisire la partecipazione le istanze di ulteriori manifestazioni d’interesse, il termine di scadenza era stato prorogato al 18.11.2024 ore 09.00.</w:t>
      </w:r>
    </w:p>
    <w:p>
      <w:pPr>
        <w:pStyle w:val="Default"/>
        <w:suppressAutoHyphens w:val="false"/>
        <w:jc w:val="both"/>
        <w:rPr>
          <w:rFonts w:ascii="Times New Roman" w:hAnsi="Times New Roman" w:cs="Times New Roman"/>
          <w:b/>
          <w:b/>
          <w:bCs/>
        </w:rPr>
      </w:pPr>
      <w:r>
        <w:rPr>
          <w:rFonts w:cs="Times New Roman" w:ascii="Times New Roman" w:hAnsi="Times New Roman"/>
          <w:b/>
          <w:bCs/>
        </w:rPr>
      </w:r>
    </w:p>
    <w:p>
      <w:pPr>
        <w:pStyle w:val="NormalWeb"/>
        <w:widowControl/>
        <w:numPr>
          <w:ilvl w:val="0"/>
          <w:numId w:val="0"/>
        </w:numPr>
        <w:shd w:val="clear" w:color="auto" w:fill="FFFFFF"/>
        <w:suppressAutoHyphens w:val="false"/>
        <w:bidi w:val="0"/>
        <w:spacing w:beforeAutospacing="0" w:before="0" w:afterAutospacing="0" w:after="0"/>
        <w:ind w:left="834" w:right="0" w:hanging="0"/>
        <w:jc w:val="both"/>
        <w:rPr>
          <w:rStyle w:val="CollegamentoInternet"/>
          <w:color w:val="000000" w:themeColor="text1"/>
          <w:u w:val="none"/>
        </w:rPr>
      </w:pPr>
      <w:r>
        <w:rPr/>
        <w:t xml:space="preserve">-   Il verbale n. 2 del 18.11.2024 in cui si prendeva atto che entro il termine di scadenza previsto per il 18.11.2024 ore 09:00, </w:t>
      </w:r>
      <w:r>
        <w:rPr>
          <w:rStyle w:val="CollegamentoInternet"/>
          <w:rFonts w:eastAsia="Times New Roman" w:cs="Times New Roman"/>
          <w:color w:val="000000" w:themeColor="text1"/>
          <w:kern w:val="0"/>
          <w:sz w:val="24"/>
          <w:szCs w:val="24"/>
          <w:u w:val="none"/>
          <w:lang w:val="it-IT" w:eastAsia="it-IT" w:bidi="ar-SA"/>
        </w:rPr>
        <w:t xml:space="preserve">in cui si dava un ulteriore proroga di </w:t>
      </w:r>
      <w:r>
        <w:rPr>
          <w:rStyle w:val="CollegamentoInternet"/>
          <w:color w:val="000000" w:themeColor="text1"/>
          <w:u w:val="none"/>
        </w:rPr>
        <w:t xml:space="preserve">18 giorni </w:t>
      </w:r>
      <w:r>
        <w:rPr>
          <w:rStyle w:val="CollegamentoInternet"/>
          <w:rFonts w:eastAsia="Times New Roman" w:cs="Times New Roman"/>
          <w:color w:val="000000" w:themeColor="text1"/>
          <w:kern w:val="0"/>
          <w:sz w:val="24"/>
          <w:szCs w:val="24"/>
          <w:u w:val="none"/>
          <w:lang w:val="it-IT" w:eastAsia="it-IT" w:bidi="ar-SA"/>
        </w:rPr>
        <w:t>per l’</w:t>
      </w:r>
      <w:r>
        <w:rPr>
          <w:rStyle w:val="CollegamentoInternet"/>
          <w:color w:val="000000" w:themeColor="text1"/>
          <w:u w:val="none"/>
        </w:rPr>
        <w:t>indagine di mercato, in cui erano  pervenute le istanze di partecipazione da parte degli operatori economici alla  manifestazione d’interesse:</w:t>
      </w:r>
    </w:p>
    <w:tbl>
      <w:tblPr>
        <w:tblStyle w:val="Grigliatabella"/>
        <w:tblW w:w="8926" w:type="dxa"/>
        <w:jc w:val="center"/>
        <w:tblInd w:w="0" w:type="dxa"/>
        <w:tblCellMar>
          <w:top w:w="0" w:type="dxa"/>
          <w:left w:w="108" w:type="dxa"/>
          <w:bottom w:w="0" w:type="dxa"/>
          <w:right w:w="108" w:type="dxa"/>
        </w:tblCellMar>
        <w:tblLook w:firstRow="1" w:noVBand="1" w:lastRow="0" w:firstColumn="1" w:lastColumn="0" w:noHBand="0" w:val="04a0"/>
      </w:tblPr>
      <w:tblGrid>
        <w:gridCol w:w="561"/>
        <w:gridCol w:w="2411"/>
        <w:gridCol w:w="3826"/>
        <w:gridCol w:w="2127"/>
      </w:tblGrid>
      <w:tr>
        <w:trPr/>
        <w:tc>
          <w:tcPr>
            <w:tcW w:w="561" w:type="dxa"/>
            <w:tcBorders/>
          </w:tcPr>
          <w:p>
            <w:pPr>
              <w:pStyle w:val="NormalWeb"/>
              <w:spacing w:beforeAutospacing="0" w:before="0" w:afterAutospacing="0" w:after="0"/>
              <w:jc w:val="center"/>
              <w:rPr>
                <w:b/>
                <w:b/>
                <w:bCs/>
                <w:sz w:val="20"/>
                <w:szCs w:val="20"/>
              </w:rPr>
            </w:pPr>
            <w:r>
              <w:rPr>
                <w:b/>
                <w:bCs/>
                <w:sz w:val="20"/>
                <w:szCs w:val="20"/>
              </w:rPr>
              <w:t>N.</w:t>
            </w:r>
          </w:p>
        </w:tc>
        <w:tc>
          <w:tcPr>
            <w:tcW w:w="2411" w:type="dxa"/>
            <w:tcBorders/>
          </w:tcPr>
          <w:p>
            <w:pPr>
              <w:pStyle w:val="NormalWeb"/>
              <w:spacing w:beforeAutospacing="0" w:before="0" w:afterAutospacing="0" w:after="0"/>
              <w:jc w:val="center"/>
              <w:rPr>
                <w:b/>
                <w:b/>
                <w:bCs/>
                <w:sz w:val="20"/>
                <w:szCs w:val="20"/>
              </w:rPr>
            </w:pPr>
            <w:r>
              <w:rPr>
                <w:b/>
                <w:bCs/>
                <w:sz w:val="20"/>
                <w:szCs w:val="20"/>
              </w:rPr>
              <w:t>Id. interno</w:t>
            </w:r>
          </w:p>
        </w:tc>
        <w:tc>
          <w:tcPr>
            <w:tcW w:w="3826" w:type="dxa"/>
            <w:tcBorders/>
          </w:tcPr>
          <w:p>
            <w:pPr>
              <w:pStyle w:val="NormalWeb"/>
              <w:spacing w:beforeAutospacing="0" w:before="0" w:afterAutospacing="0" w:after="0"/>
              <w:jc w:val="center"/>
              <w:rPr>
                <w:b/>
                <w:b/>
                <w:bCs/>
                <w:sz w:val="20"/>
                <w:szCs w:val="20"/>
              </w:rPr>
            </w:pPr>
            <w:r>
              <w:rPr>
                <w:b/>
                <w:bCs/>
                <w:sz w:val="20"/>
                <w:szCs w:val="20"/>
              </w:rPr>
              <w:t>Denominazione</w:t>
            </w:r>
          </w:p>
        </w:tc>
        <w:tc>
          <w:tcPr>
            <w:tcW w:w="2127" w:type="dxa"/>
            <w:tcBorders/>
          </w:tcPr>
          <w:p>
            <w:pPr>
              <w:pStyle w:val="NormalWeb"/>
              <w:spacing w:beforeAutospacing="0" w:before="0" w:afterAutospacing="0" w:after="0"/>
              <w:jc w:val="center"/>
              <w:rPr>
                <w:b/>
                <w:b/>
                <w:bCs/>
                <w:sz w:val="20"/>
                <w:szCs w:val="20"/>
              </w:rPr>
            </w:pPr>
            <w:r>
              <w:rPr>
                <w:b/>
                <w:bCs/>
                <w:sz w:val="20"/>
                <w:szCs w:val="20"/>
              </w:rPr>
              <w:t>Data e ora ricezione</w:t>
            </w:r>
          </w:p>
        </w:tc>
      </w:tr>
      <w:tr>
        <w:trPr/>
        <w:tc>
          <w:tcPr>
            <w:tcW w:w="561" w:type="dxa"/>
            <w:tcBorders/>
          </w:tcPr>
          <w:p>
            <w:pPr>
              <w:pStyle w:val="NormalWeb"/>
              <w:spacing w:beforeAutospacing="0" w:before="0" w:afterAutospacing="0" w:after="0"/>
              <w:jc w:val="center"/>
              <w:rPr>
                <w:sz w:val="20"/>
                <w:szCs w:val="20"/>
              </w:rPr>
            </w:pPr>
            <w:r>
              <w:rPr>
                <w:sz w:val="20"/>
                <w:szCs w:val="20"/>
              </w:rPr>
              <w:t>1</w:t>
            </w:r>
          </w:p>
        </w:tc>
        <w:tc>
          <w:tcPr>
            <w:tcW w:w="2411" w:type="dxa"/>
            <w:tcBorders/>
          </w:tcPr>
          <w:p>
            <w:pPr>
              <w:pStyle w:val="NormalWeb"/>
              <w:spacing w:beforeAutospacing="0" w:before="0" w:afterAutospacing="0" w:after="0"/>
              <w:jc w:val="center"/>
              <w:rPr>
                <w:sz w:val="20"/>
                <w:szCs w:val="20"/>
              </w:rPr>
            </w:pPr>
            <w:r>
              <w:rPr>
                <w:b/>
                <w:bCs/>
                <w:sz w:val="20"/>
                <w:szCs w:val="20"/>
              </w:rPr>
              <w:t>3312198</w:t>
            </w:r>
          </w:p>
        </w:tc>
        <w:tc>
          <w:tcPr>
            <w:tcW w:w="3826" w:type="dxa"/>
            <w:tcBorders/>
          </w:tcPr>
          <w:p>
            <w:pPr>
              <w:pStyle w:val="NormalWeb"/>
              <w:spacing w:beforeAutospacing="0" w:before="0" w:afterAutospacing="0" w:after="0"/>
              <w:jc w:val="both"/>
              <w:rPr>
                <w:sz w:val="20"/>
                <w:szCs w:val="20"/>
              </w:rPr>
            </w:pPr>
            <w:r>
              <w:rPr>
                <w:sz w:val="20"/>
                <w:szCs w:val="20"/>
              </w:rPr>
              <w:t xml:space="preserve">GLOBAL PROFESSIONAL SCHOOL, sede legale in MESSINA, VIA UBERTO BONINO CPL SITAT C PO-H, P.IVA: 03702990833 - C.F.: 97107350833 </w:t>
            </w:r>
          </w:p>
        </w:tc>
        <w:tc>
          <w:tcPr>
            <w:tcW w:w="2127" w:type="dxa"/>
            <w:tcBorders/>
          </w:tcPr>
          <w:p>
            <w:pPr>
              <w:pStyle w:val="NormalWeb"/>
              <w:spacing w:beforeAutospacing="0" w:before="0" w:afterAutospacing="0" w:after="0"/>
              <w:jc w:val="center"/>
              <w:rPr>
                <w:sz w:val="20"/>
                <w:szCs w:val="20"/>
              </w:rPr>
            </w:pPr>
            <w:r>
              <w:rPr>
                <w:sz w:val="20"/>
                <w:szCs w:val="20"/>
              </w:rPr>
              <w:t>05/11/2024 12:03</w:t>
            </w:r>
          </w:p>
        </w:tc>
      </w:tr>
      <w:tr>
        <w:trPr/>
        <w:tc>
          <w:tcPr>
            <w:tcW w:w="561" w:type="dxa"/>
            <w:tcBorders/>
          </w:tcPr>
          <w:p>
            <w:pPr>
              <w:pStyle w:val="NormalWeb"/>
              <w:spacing w:beforeAutospacing="0" w:before="0" w:afterAutospacing="0" w:after="0"/>
              <w:jc w:val="center"/>
              <w:rPr>
                <w:sz w:val="20"/>
                <w:szCs w:val="20"/>
              </w:rPr>
            </w:pPr>
            <w:r>
              <w:rPr>
                <w:sz w:val="20"/>
                <w:szCs w:val="20"/>
              </w:rPr>
              <w:t>2</w:t>
            </w:r>
          </w:p>
        </w:tc>
        <w:tc>
          <w:tcPr>
            <w:tcW w:w="2411" w:type="dxa"/>
            <w:tcBorders/>
          </w:tcPr>
          <w:p>
            <w:pPr>
              <w:pStyle w:val="NormalWeb"/>
              <w:spacing w:beforeAutospacing="0" w:before="0" w:afterAutospacing="0" w:after="0"/>
              <w:jc w:val="center"/>
              <w:rPr>
                <w:sz w:val="20"/>
                <w:szCs w:val="20"/>
              </w:rPr>
            </w:pPr>
            <w:r>
              <w:rPr>
                <w:b/>
                <w:bCs/>
                <w:sz w:val="20"/>
                <w:szCs w:val="20"/>
              </w:rPr>
              <w:t>3318717</w:t>
            </w:r>
          </w:p>
        </w:tc>
        <w:tc>
          <w:tcPr>
            <w:tcW w:w="3826" w:type="dxa"/>
            <w:tcBorders/>
          </w:tcPr>
          <w:p>
            <w:pPr>
              <w:pStyle w:val="NormalWeb"/>
              <w:spacing w:beforeAutospacing="0" w:before="0" w:afterAutospacing="0" w:after="0"/>
              <w:jc w:val="both"/>
              <w:rPr/>
            </w:pPr>
            <w:r>
              <w:rPr>
                <w:sz w:val="20"/>
                <w:szCs w:val="20"/>
              </w:rPr>
              <w:t>CENTRO FORMAZIONE PROFESSIONALE S. GIOVANNI APOSTOLO, sede legale CATANIA (CT) - VIA AGOSTINO DE COSMI 5 CAP 95123, P.IVA: 05245740872 – C. Fis: 93066150876</w:t>
            </w:r>
          </w:p>
        </w:tc>
        <w:tc>
          <w:tcPr>
            <w:tcW w:w="2127" w:type="dxa"/>
            <w:tcBorders/>
          </w:tcPr>
          <w:p>
            <w:pPr>
              <w:pStyle w:val="NormalWeb"/>
              <w:spacing w:beforeAutospacing="0" w:before="0" w:afterAutospacing="0" w:after="0"/>
              <w:jc w:val="center"/>
              <w:rPr>
                <w:sz w:val="20"/>
                <w:szCs w:val="20"/>
              </w:rPr>
            </w:pPr>
            <w:r>
              <w:rPr>
                <w:sz w:val="20"/>
                <w:szCs w:val="20"/>
              </w:rPr>
              <w:t>07/11/2024 09:52</w:t>
            </w:r>
          </w:p>
        </w:tc>
      </w:tr>
      <w:tr>
        <w:trPr/>
        <w:tc>
          <w:tcPr>
            <w:tcW w:w="561" w:type="dxa"/>
            <w:tcBorders/>
          </w:tcPr>
          <w:p>
            <w:pPr>
              <w:pStyle w:val="NormalWeb"/>
              <w:spacing w:beforeAutospacing="0" w:before="0" w:afterAutospacing="0" w:after="0"/>
              <w:jc w:val="center"/>
              <w:rPr>
                <w:sz w:val="20"/>
                <w:szCs w:val="20"/>
              </w:rPr>
            </w:pPr>
            <w:r>
              <w:rPr>
                <w:sz w:val="20"/>
                <w:szCs w:val="20"/>
              </w:rPr>
              <w:t>3</w:t>
            </w:r>
          </w:p>
        </w:tc>
        <w:tc>
          <w:tcPr>
            <w:tcW w:w="2411" w:type="dxa"/>
            <w:tcBorders/>
          </w:tcPr>
          <w:p>
            <w:pPr>
              <w:pStyle w:val="NormalWeb"/>
              <w:spacing w:beforeAutospacing="0" w:before="0" w:afterAutospacing="0" w:after="0"/>
              <w:jc w:val="center"/>
              <w:rPr>
                <w:b/>
                <w:b/>
                <w:bCs/>
                <w:sz w:val="20"/>
                <w:szCs w:val="20"/>
              </w:rPr>
            </w:pPr>
            <w:r>
              <w:rPr>
                <w:b/>
                <w:bCs/>
                <w:sz w:val="20"/>
                <w:szCs w:val="20"/>
              </w:rPr>
              <w:t>3335494</w:t>
            </w:r>
          </w:p>
        </w:tc>
        <w:tc>
          <w:tcPr>
            <w:tcW w:w="3826" w:type="dxa"/>
            <w:tcBorders/>
          </w:tcPr>
          <w:p>
            <w:pPr>
              <w:pStyle w:val="NormalWeb"/>
              <w:spacing w:beforeAutospacing="0" w:before="0" w:afterAutospacing="0" w:after="0"/>
              <w:jc w:val="both"/>
              <w:rPr>
                <w:sz w:val="20"/>
                <w:szCs w:val="20"/>
              </w:rPr>
            </w:pPr>
            <w:r>
              <w:rPr>
                <w:sz w:val="20"/>
                <w:szCs w:val="20"/>
              </w:rPr>
              <w:t>ITINERARI PER IL LAVORO SIRACUSA, sede legale SIRACUSA – VIA ARSENALE N. 40, P. IVA 01903050894</w:t>
            </w:r>
          </w:p>
        </w:tc>
        <w:tc>
          <w:tcPr>
            <w:tcW w:w="2127" w:type="dxa"/>
            <w:tcBorders/>
          </w:tcPr>
          <w:p>
            <w:pPr>
              <w:pStyle w:val="NormalWeb"/>
              <w:spacing w:beforeAutospacing="0" w:before="0" w:afterAutospacing="0" w:after="0"/>
              <w:jc w:val="center"/>
              <w:rPr>
                <w:sz w:val="20"/>
                <w:szCs w:val="20"/>
              </w:rPr>
            </w:pPr>
            <w:r>
              <w:rPr>
                <w:sz w:val="20"/>
                <w:szCs w:val="20"/>
              </w:rPr>
              <w:t>13/11/2024 18:37</w:t>
            </w:r>
          </w:p>
        </w:tc>
      </w:tr>
      <w:tr>
        <w:trPr/>
        <w:tc>
          <w:tcPr>
            <w:tcW w:w="561" w:type="dxa"/>
            <w:tcBorders/>
          </w:tcPr>
          <w:p>
            <w:pPr>
              <w:pStyle w:val="NormalWeb"/>
              <w:spacing w:beforeAutospacing="0" w:before="0" w:afterAutospacing="0" w:after="0"/>
              <w:jc w:val="center"/>
              <w:rPr>
                <w:sz w:val="20"/>
                <w:szCs w:val="20"/>
              </w:rPr>
            </w:pPr>
            <w:r>
              <w:rPr>
                <w:sz w:val="20"/>
                <w:szCs w:val="20"/>
              </w:rPr>
              <w:t>4</w:t>
            </w:r>
          </w:p>
        </w:tc>
        <w:tc>
          <w:tcPr>
            <w:tcW w:w="2411" w:type="dxa"/>
            <w:tcBorders/>
          </w:tcPr>
          <w:p>
            <w:pPr>
              <w:pStyle w:val="NormalWeb"/>
              <w:spacing w:beforeAutospacing="0" w:before="0" w:afterAutospacing="0" w:after="0"/>
              <w:jc w:val="center"/>
              <w:rPr>
                <w:b/>
                <w:b/>
                <w:bCs/>
                <w:sz w:val="20"/>
                <w:szCs w:val="20"/>
              </w:rPr>
            </w:pPr>
            <w:r>
              <w:rPr>
                <w:b/>
                <w:bCs/>
                <w:sz w:val="20"/>
                <w:szCs w:val="20"/>
              </w:rPr>
              <w:t>3341088</w:t>
            </w:r>
          </w:p>
        </w:tc>
        <w:tc>
          <w:tcPr>
            <w:tcW w:w="3826" w:type="dxa"/>
            <w:tcBorders/>
          </w:tcPr>
          <w:p>
            <w:pPr>
              <w:pStyle w:val="NormalWeb"/>
              <w:spacing w:beforeAutospacing="0" w:before="0" w:afterAutospacing="0" w:after="0"/>
              <w:jc w:val="both"/>
              <w:rPr>
                <w:sz w:val="20"/>
                <w:szCs w:val="20"/>
              </w:rPr>
            </w:pPr>
            <w:r>
              <w:rPr>
                <w:sz w:val="20"/>
                <w:szCs w:val="20"/>
              </w:rPr>
              <w:t>ASSOCIAZIONE CULTURALE PANORMUS, sede legale PALERMO - VIA FEDERICO FERRARI ORSI 112, CODICE FISCALE: 97158230827 - PARTITA I.V.A.: 06639540829</w:t>
            </w:r>
          </w:p>
        </w:tc>
        <w:tc>
          <w:tcPr>
            <w:tcW w:w="2127" w:type="dxa"/>
            <w:tcBorders/>
          </w:tcPr>
          <w:p>
            <w:pPr>
              <w:pStyle w:val="NormalWeb"/>
              <w:spacing w:beforeAutospacing="0" w:before="0" w:afterAutospacing="0" w:after="0"/>
              <w:jc w:val="center"/>
              <w:rPr>
                <w:sz w:val="20"/>
                <w:szCs w:val="20"/>
              </w:rPr>
            </w:pPr>
            <w:r>
              <w:rPr>
                <w:sz w:val="20"/>
                <w:szCs w:val="20"/>
              </w:rPr>
              <w:t>15/11/2024 16:25</w:t>
            </w:r>
          </w:p>
        </w:tc>
      </w:tr>
      <w:tr>
        <w:trPr/>
        <w:tc>
          <w:tcPr>
            <w:tcW w:w="561" w:type="dxa"/>
            <w:tcBorders/>
          </w:tcPr>
          <w:p>
            <w:pPr>
              <w:pStyle w:val="NormalWeb"/>
              <w:spacing w:beforeAutospacing="0" w:before="0" w:afterAutospacing="0" w:after="0"/>
              <w:jc w:val="center"/>
              <w:rPr>
                <w:sz w:val="20"/>
                <w:szCs w:val="20"/>
              </w:rPr>
            </w:pPr>
            <w:r>
              <w:rPr>
                <w:sz w:val="20"/>
                <w:szCs w:val="20"/>
              </w:rPr>
              <w:t>5</w:t>
            </w:r>
          </w:p>
        </w:tc>
        <w:tc>
          <w:tcPr>
            <w:tcW w:w="2411" w:type="dxa"/>
            <w:tcBorders/>
          </w:tcPr>
          <w:p>
            <w:pPr>
              <w:pStyle w:val="NormalWeb"/>
              <w:spacing w:beforeAutospacing="0" w:before="0" w:afterAutospacing="0" w:after="0"/>
              <w:jc w:val="center"/>
              <w:rPr>
                <w:b/>
                <w:b/>
                <w:bCs/>
                <w:sz w:val="20"/>
                <w:szCs w:val="20"/>
              </w:rPr>
            </w:pPr>
            <w:r>
              <w:rPr>
                <w:b/>
                <w:bCs/>
                <w:sz w:val="20"/>
                <w:szCs w:val="20"/>
              </w:rPr>
              <w:t>3341307</w:t>
            </w:r>
          </w:p>
        </w:tc>
        <w:tc>
          <w:tcPr>
            <w:tcW w:w="3826" w:type="dxa"/>
            <w:tcBorders/>
          </w:tcPr>
          <w:p>
            <w:pPr>
              <w:pStyle w:val="NormalWeb"/>
              <w:spacing w:beforeAutospacing="0" w:before="0" w:afterAutospacing="0" w:after="0"/>
              <w:jc w:val="both"/>
              <w:rPr>
                <w:sz w:val="20"/>
                <w:szCs w:val="20"/>
              </w:rPr>
            </w:pPr>
            <w:r>
              <w:rPr>
                <w:sz w:val="20"/>
                <w:szCs w:val="20"/>
              </w:rPr>
              <w:t>Cosmopolis Società Cooperativa – sede legale Gangi (PA) – P. IVA 05022980824</w:t>
            </w:r>
            <w:r>
              <w:rPr>
                <w:rFonts w:eastAsia="Calibri" w:cs="Calibri" w:ascii="Calibri" w:hAnsi="Calibri"/>
                <w:color w:val="000000"/>
                <w:sz w:val="20"/>
                <w:szCs w:val="20"/>
                <w:lang w:eastAsia="en-US"/>
              </w:rPr>
              <w:t xml:space="preserve"> </w:t>
            </w:r>
          </w:p>
        </w:tc>
        <w:tc>
          <w:tcPr>
            <w:tcW w:w="2127" w:type="dxa"/>
            <w:tcBorders/>
          </w:tcPr>
          <w:p>
            <w:pPr>
              <w:pStyle w:val="NormalWeb"/>
              <w:spacing w:beforeAutospacing="0" w:before="0" w:afterAutospacing="0" w:after="0"/>
              <w:jc w:val="center"/>
              <w:rPr>
                <w:sz w:val="20"/>
                <w:szCs w:val="20"/>
              </w:rPr>
            </w:pPr>
            <w:r>
              <w:rPr>
                <w:sz w:val="20"/>
                <w:szCs w:val="20"/>
              </w:rPr>
              <w:t>15/11/2024 18:42</w:t>
            </w:r>
          </w:p>
        </w:tc>
      </w:tr>
    </w:tbl>
    <w:p>
      <w:pPr>
        <w:pStyle w:val="NormalWeb"/>
        <w:numPr>
          <w:ilvl w:val="0"/>
          <w:numId w:val="1"/>
        </w:numPr>
        <w:spacing w:beforeAutospacing="0" w:before="0" w:afterAutospacing="0" w:after="0"/>
        <w:jc w:val="both"/>
        <w:rPr>
          <w:color w:val="000000" w:themeColor="text1"/>
        </w:rPr>
      </w:pPr>
      <w:r>
        <w:rPr>
          <w:color w:val="000000" w:themeColor="text1"/>
        </w:rPr>
        <w:t>Esaminate le manifestazioni d’interesse, e, in particolare, le dichiarazioni rese dagli operatori economici in merito al possesso dei requisiti di </w:t>
      </w:r>
      <w:r>
        <w:rPr>
          <w:color w:val="000000" w:themeColor="text1"/>
          <w:u w:val="single"/>
        </w:rPr>
        <w:t>ordine generale</w:t>
      </w:r>
      <w:r>
        <w:rPr>
          <w:color w:val="000000" w:themeColor="text1"/>
        </w:rPr>
        <w:t>, di cui agli artt. da 94 a 98 del Codice degli appalti, e </w:t>
      </w:r>
      <w:r>
        <w:rPr>
          <w:color w:val="000000" w:themeColor="text1"/>
          <w:u w:val="single"/>
        </w:rPr>
        <w:t>speciale</w:t>
      </w:r>
      <w:r>
        <w:rPr>
          <w:color w:val="000000" w:themeColor="text1"/>
        </w:rPr>
        <w:t xml:space="preserve"> richiesti nella procedura in epigrafe e di non ricadere in alcune delle cause di esclusione ivi previste e preso atto che quanto dichiarato dagli operatori economici non costituisce prova di possesso dei requisiti richiesti che invece dovrà essere accertato dalla Stazione Appaltante, nei modi di legge, ai fini della successiva procedura negoziata di affidamento, gli operatori così come sopra individuati sono stati ammessi alla successiva fase della procedura negoziata con scadenza il 05.12.2024 alle ore 09.00 e </w:t>
      </w:r>
      <w:r>
        <w:rPr/>
        <w:t xml:space="preserve">che entro tale termine fissato </w:t>
      </w:r>
      <w:r>
        <w:rPr>
          <w:rFonts w:eastAsia="Times New Roman" w:cs="Times New Roman"/>
          <w:color w:val="auto"/>
          <w:kern w:val="0"/>
          <w:sz w:val="24"/>
          <w:szCs w:val="24"/>
          <w:lang w:val="it-IT" w:eastAsia="it-IT" w:bidi="ar-SA"/>
        </w:rPr>
        <w:t>sono</w:t>
      </w:r>
      <w:r>
        <w:rPr/>
        <w:t xml:space="preserve"> pervenute le seguenti offerte: </w:t>
      </w:r>
    </w:p>
    <w:tbl>
      <w:tblPr>
        <w:tblStyle w:val="Grigliatabella"/>
        <w:tblW w:w="8926" w:type="dxa"/>
        <w:jc w:val="center"/>
        <w:tblInd w:w="0" w:type="dxa"/>
        <w:tblCellMar>
          <w:top w:w="0" w:type="dxa"/>
          <w:left w:w="108" w:type="dxa"/>
          <w:bottom w:w="0" w:type="dxa"/>
          <w:right w:w="108" w:type="dxa"/>
        </w:tblCellMar>
        <w:tblLook w:firstRow="1" w:noVBand="1" w:lastRow="0" w:firstColumn="1" w:lastColumn="0" w:noHBand="0" w:val="04a0"/>
      </w:tblPr>
      <w:tblGrid>
        <w:gridCol w:w="561"/>
        <w:gridCol w:w="2411"/>
        <w:gridCol w:w="3826"/>
        <w:gridCol w:w="2127"/>
      </w:tblGrid>
      <w:tr>
        <w:trPr/>
        <w:tc>
          <w:tcPr>
            <w:tcW w:w="561" w:type="dxa"/>
            <w:tcBorders/>
          </w:tcPr>
          <w:p>
            <w:pPr>
              <w:pStyle w:val="NormalWeb"/>
              <w:spacing w:beforeAutospacing="0" w:before="0" w:afterAutospacing="0" w:after="0"/>
              <w:jc w:val="center"/>
              <w:rPr>
                <w:b/>
                <w:b/>
                <w:bCs/>
                <w:sz w:val="20"/>
                <w:szCs w:val="20"/>
              </w:rPr>
            </w:pPr>
            <w:r>
              <w:rPr>
                <w:b/>
                <w:bCs/>
                <w:sz w:val="20"/>
                <w:szCs w:val="20"/>
              </w:rPr>
              <w:t>N.</w:t>
            </w:r>
          </w:p>
        </w:tc>
        <w:tc>
          <w:tcPr>
            <w:tcW w:w="2411" w:type="dxa"/>
            <w:tcBorders/>
          </w:tcPr>
          <w:p>
            <w:pPr>
              <w:pStyle w:val="NormalWeb"/>
              <w:spacing w:beforeAutospacing="0" w:before="0" w:afterAutospacing="0" w:after="0"/>
              <w:jc w:val="center"/>
              <w:rPr>
                <w:b/>
                <w:b/>
                <w:bCs/>
                <w:sz w:val="20"/>
                <w:szCs w:val="20"/>
              </w:rPr>
            </w:pPr>
            <w:r>
              <w:rPr>
                <w:b/>
                <w:bCs/>
                <w:sz w:val="20"/>
                <w:szCs w:val="20"/>
              </w:rPr>
              <w:t>Id. interno</w:t>
            </w:r>
          </w:p>
        </w:tc>
        <w:tc>
          <w:tcPr>
            <w:tcW w:w="3826" w:type="dxa"/>
            <w:tcBorders/>
          </w:tcPr>
          <w:p>
            <w:pPr>
              <w:pStyle w:val="NormalWeb"/>
              <w:spacing w:beforeAutospacing="0" w:before="0" w:afterAutospacing="0" w:after="0"/>
              <w:jc w:val="center"/>
              <w:rPr>
                <w:b/>
                <w:b/>
                <w:bCs/>
                <w:sz w:val="20"/>
                <w:szCs w:val="20"/>
              </w:rPr>
            </w:pPr>
            <w:r>
              <w:rPr>
                <w:b/>
                <w:bCs/>
                <w:sz w:val="20"/>
                <w:szCs w:val="20"/>
              </w:rPr>
              <w:t>Denominazione</w:t>
            </w:r>
          </w:p>
        </w:tc>
        <w:tc>
          <w:tcPr>
            <w:tcW w:w="2127" w:type="dxa"/>
            <w:tcBorders/>
          </w:tcPr>
          <w:p>
            <w:pPr>
              <w:pStyle w:val="NormalWeb"/>
              <w:spacing w:beforeAutospacing="0" w:before="0" w:afterAutospacing="0" w:after="0"/>
              <w:jc w:val="center"/>
              <w:rPr>
                <w:b/>
                <w:b/>
                <w:bCs/>
                <w:sz w:val="20"/>
                <w:szCs w:val="20"/>
              </w:rPr>
            </w:pPr>
            <w:r>
              <w:rPr>
                <w:b/>
                <w:bCs/>
                <w:sz w:val="20"/>
                <w:szCs w:val="20"/>
              </w:rPr>
              <w:t>Data e ora ricezione</w:t>
            </w:r>
          </w:p>
        </w:tc>
      </w:tr>
      <w:tr>
        <w:trPr/>
        <w:tc>
          <w:tcPr>
            <w:tcW w:w="561" w:type="dxa"/>
            <w:tcBorders/>
          </w:tcPr>
          <w:p>
            <w:pPr>
              <w:pStyle w:val="NormalWeb"/>
              <w:spacing w:beforeAutospacing="0" w:before="0" w:afterAutospacing="0" w:after="0"/>
              <w:jc w:val="center"/>
              <w:rPr>
                <w:sz w:val="20"/>
                <w:szCs w:val="20"/>
              </w:rPr>
            </w:pPr>
            <w:r>
              <w:rPr>
                <w:sz w:val="20"/>
                <w:szCs w:val="20"/>
              </w:rPr>
              <w:t>1</w:t>
            </w:r>
          </w:p>
        </w:tc>
        <w:tc>
          <w:tcPr>
            <w:tcW w:w="2411" w:type="dxa"/>
            <w:tcBorders/>
          </w:tcPr>
          <w:p>
            <w:pPr>
              <w:pStyle w:val="NormalWeb"/>
              <w:spacing w:beforeAutospacing="0" w:before="0" w:afterAutospacing="0" w:after="0"/>
              <w:jc w:val="center"/>
              <w:rPr>
                <w:b/>
                <w:b/>
                <w:bCs/>
                <w:sz w:val="20"/>
                <w:szCs w:val="20"/>
              </w:rPr>
            </w:pPr>
            <w:r>
              <w:rPr>
                <w:b/>
                <w:bCs/>
                <w:sz w:val="20"/>
                <w:szCs w:val="20"/>
              </w:rPr>
              <w:t>3393346</w:t>
            </w:r>
          </w:p>
        </w:tc>
        <w:tc>
          <w:tcPr>
            <w:tcW w:w="3826" w:type="dxa"/>
            <w:tcBorders/>
          </w:tcPr>
          <w:p>
            <w:pPr>
              <w:pStyle w:val="NormalWeb"/>
              <w:spacing w:beforeAutospacing="0" w:before="0" w:afterAutospacing="0" w:after="0"/>
              <w:jc w:val="both"/>
              <w:rPr>
                <w:sz w:val="20"/>
                <w:szCs w:val="20"/>
              </w:rPr>
            </w:pPr>
            <w:r>
              <w:rPr>
                <w:sz w:val="20"/>
                <w:szCs w:val="20"/>
              </w:rPr>
              <w:t>ASSOCIAZIONE CULTURALE PANORMUS, sede legale PALERMO - VIA FEDERICO FERRARI ORSI 112, CODICE FISCALE: 97158230827 - PARTITA I.V.A.: 06639540829</w:t>
            </w:r>
          </w:p>
        </w:tc>
        <w:tc>
          <w:tcPr>
            <w:tcW w:w="2127" w:type="dxa"/>
            <w:tcBorders/>
          </w:tcPr>
          <w:p>
            <w:pPr>
              <w:pStyle w:val="NormalWeb"/>
              <w:spacing w:beforeAutospacing="0" w:before="0" w:afterAutospacing="0" w:after="0"/>
              <w:jc w:val="center"/>
              <w:rPr>
                <w:sz w:val="20"/>
                <w:szCs w:val="20"/>
              </w:rPr>
            </w:pPr>
            <w:r>
              <w:rPr>
                <w:sz w:val="20"/>
                <w:szCs w:val="20"/>
              </w:rPr>
              <w:t>04/12/2024 17:06</w:t>
            </w:r>
          </w:p>
        </w:tc>
      </w:tr>
      <w:tr>
        <w:trPr/>
        <w:tc>
          <w:tcPr>
            <w:tcW w:w="561" w:type="dxa"/>
            <w:tcBorders/>
          </w:tcPr>
          <w:p>
            <w:pPr>
              <w:pStyle w:val="NormalWeb"/>
              <w:spacing w:beforeAutospacing="0" w:before="0" w:afterAutospacing="0" w:after="0"/>
              <w:jc w:val="center"/>
              <w:rPr>
                <w:sz w:val="20"/>
                <w:szCs w:val="20"/>
              </w:rPr>
            </w:pPr>
            <w:r>
              <w:rPr>
                <w:sz w:val="20"/>
                <w:szCs w:val="20"/>
              </w:rPr>
              <w:t>2</w:t>
            </w:r>
          </w:p>
        </w:tc>
        <w:tc>
          <w:tcPr>
            <w:tcW w:w="2411" w:type="dxa"/>
            <w:tcBorders/>
          </w:tcPr>
          <w:p>
            <w:pPr>
              <w:pStyle w:val="NormalWeb"/>
              <w:spacing w:beforeAutospacing="0" w:before="0" w:afterAutospacing="0" w:after="0"/>
              <w:jc w:val="center"/>
              <w:rPr>
                <w:b/>
                <w:b/>
                <w:bCs/>
                <w:sz w:val="20"/>
                <w:szCs w:val="20"/>
              </w:rPr>
            </w:pPr>
            <w:r>
              <w:rPr>
                <w:b/>
                <w:bCs/>
                <w:sz w:val="20"/>
                <w:szCs w:val="20"/>
              </w:rPr>
              <w:t>3393615</w:t>
            </w:r>
          </w:p>
        </w:tc>
        <w:tc>
          <w:tcPr>
            <w:tcW w:w="3826" w:type="dxa"/>
            <w:tcBorders/>
          </w:tcPr>
          <w:p>
            <w:pPr>
              <w:pStyle w:val="NormalWeb"/>
              <w:spacing w:beforeAutospacing="0" w:before="0" w:afterAutospacing="0" w:after="0"/>
              <w:jc w:val="both"/>
              <w:rPr>
                <w:sz w:val="20"/>
                <w:szCs w:val="20"/>
              </w:rPr>
            </w:pPr>
            <w:r>
              <w:rPr>
                <w:sz w:val="20"/>
                <w:szCs w:val="20"/>
              </w:rPr>
              <w:t>Cosmopolis Società Cooperativa – sede legale Gangi (PA) – P. IVA 05022980824</w:t>
            </w:r>
            <w:r>
              <w:rPr>
                <w:rFonts w:eastAsia="Calibri" w:cs="Calibri" w:ascii="Calibri" w:hAnsi="Calibri"/>
                <w:color w:val="000000"/>
                <w:sz w:val="20"/>
                <w:szCs w:val="20"/>
                <w:lang w:eastAsia="en-US"/>
              </w:rPr>
              <w:t xml:space="preserve"> </w:t>
            </w:r>
          </w:p>
        </w:tc>
        <w:tc>
          <w:tcPr>
            <w:tcW w:w="2127" w:type="dxa"/>
            <w:tcBorders/>
          </w:tcPr>
          <w:p>
            <w:pPr>
              <w:pStyle w:val="NormalWeb"/>
              <w:spacing w:beforeAutospacing="0" w:before="0" w:afterAutospacing="0" w:after="0"/>
              <w:jc w:val="center"/>
              <w:rPr>
                <w:sz w:val="20"/>
                <w:szCs w:val="20"/>
              </w:rPr>
            </w:pPr>
            <w:r>
              <w:rPr>
                <w:sz w:val="20"/>
                <w:szCs w:val="20"/>
              </w:rPr>
              <w:t>04/12/2024 18:52</w:t>
            </w:r>
          </w:p>
        </w:tc>
      </w:tr>
    </w:tbl>
    <w:p>
      <w:pPr>
        <w:pStyle w:val="NormalWeb"/>
        <w:numPr>
          <w:ilvl w:val="0"/>
          <w:numId w:val="0"/>
        </w:numPr>
        <w:shd w:val="clear" w:color="auto" w:fill="FFFFFF"/>
        <w:spacing w:beforeAutospacing="0" w:before="0" w:afterAutospacing="0" w:after="0"/>
        <w:ind w:left="720" w:hanging="0"/>
        <w:jc w:val="both"/>
        <w:rPr/>
      </w:pPr>
      <w:r>
        <w:rPr/>
      </w:r>
    </w:p>
    <w:p>
      <w:pPr>
        <w:pStyle w:val="NormalWeb"/>
        <w:widowControl/>
        <w:numPr>
          <w:ilvl w:val="0"/>
          <w:numId w:val="0"/>
        </w:numPr>
        <w:shd w:val="clear" w:color="auto" w:fill="FFFFFF"/>
        <w:suppressAutoHyphens w:val="false"/>
        <w:bidi w:val="0"/>
        <w:spacing w:beforeAutospacing="0" w:before="0" w:afterAutospacing="0" w:after="0"/>
        <w:ind w:left="777" w:right="0" w:hanging="0"/>
        <w:jc w:val="both"/>
        <w:rPr/>
      </w:pPr>
      <w:r>
        <w:rPr/>
        <w:t xml:space="preserve">-  con  verbale n. 3 del 05.12.2024, il RUP dichiarava aperta la seduta pubblica per l’esame della documentazione amministrativa; </w:t>
      </w:r>
    </w:p>
    <w:p>
      <w:pPr>
        <w:pStyle w:val="NormalWeb"/>
        <w:widowControl/>
        <w:numPr>
          <w:ilvl w:val="0"/>
          <w:numId w:val="0"/>
        </w:numPr>
        <w:shd w:val="clear" w:color="auto" w:fill="FFFFFF"/>
        <w:suppressAutoHyphens w:val="false"/>
        <w:bidi w:val="0"/>
        <w:spacing w:beforeAutospacing="0" w:before="0" w:afterAutospacing="0" w:after="0"/>
        <w:ind w:left="777" w:right="0" w:hanging="0"/>
        <w:jc w:val="both"/>
        <w:rPr/>
      </w:pPr>
      <w:r>
        <w:rPr/>
        <w:t>- dalla verifica della documentazione amministrativa erano state richieste delle integrazioni mediante soccorso istruttorio entro la data del 16/12/2024 alle ore 09:00;</w:t>
      </w:r>
    </w:p>
    <w:p>
      <w:pPr>
        <w:pStyle w:val="NormalWeb"/>
        <w:widowControl/>
        <w:numPr>
          <w:ilvl w:val="0"/>
          <w:numId w:val="0"/>
        </w:numPr>
        <w:shd w:val="clear" w:color="auto" w:fill="FFFFFF"/>
        <w:suppressAutoHyphens w:val="false"/>
        <w:bidi w:val="0"/>
        <w:spacing w:beforeAutospacing="0" w:before="0" w:afterAutospacing="0" w:after="0"/>
        <w:ind w:left="777" w:right="0" w:hanging="0"/>
        <w:jc w:val="both"/>
        <w:rPr/>
      </w:pPr>
      <w:r>
        <w:rPr/>
        <w:t>- con verbale n. 4 del 16/12/2024, venivano acquisite  le integrazioni richieste e dei sottoelencati operatori economici che venivano ammessi alla fase successiva della procedura;</w:t>
      </w:r>
    </w:p>
    <w:p>
      <w:pPr>
        <w:pStyle w:val="NormalWeb"/>
        <w:widowControl/>
        <w:numPr>
          <w:ilvl w:val="0"/>
          <w:numId w:val="0"/>
        </w:numPr>
        <w:shd w:val="clear" w:color="auto" w:fill="FFFFFF"/>
        <w:suppressAutoHyphens w:val="false"/>
        <w:bidi w:val="0"/>
        <w:spacing w:beforeAutospacing="0" w:before="0" w:afterAutospacing="0" w:after="0"/>
        <w:ind w:left="777" w:right="0" w:hanging="0"/>
        <w:jc w:val="both"/>
        <w:rPr/>
      </w:pPr>
      <w:r>
        <w:rPr/>
        <w:t>ASSOCIAZIONE CULTURALE PANORMUS, sede legale PALERMO -  PARTITA I.V.A.: 06639540829.</w:t>
      </w:r>
    </w:p>
    <w:p>
      <w:pPr>
        <w:pStyle w:val="NormalWeb"/>
        <w:widowControl/>
        <w:shd w:val="clear" w:color="auto" w:fill="FFFFFF"/>
        <w:suppressAutoHyphens w:val="false"/>
        <w:bidi w:val="0"/>
        <w:spacing w:beforeAutospacing="0" w:before="0" w:afterAutospacing="0" w:after="0"/>
        <w:ind w:left="397" w:right="0" w:hanging="340"/>
        <w:jc w:val="both"/>
        <w:rPr/>
      </w:pPr>
      <w:r>
        <w:rPr/>
        <w:t xml:space="preserve">   </w:t>
      </w:r>
      <w:r>
        <w:rPr/>
        <w:t xml:space="preserve">COSMOPOLIS SOCIETA’ COOPERATIVA – </w:t>
      </w:r>
      <w:r>
        <w:rPr>
          <w:rFonts w:eastAsia="Times New Roman" w:cs="Times New Roman"/>
          <w:sz w:val="24"/>
          <w:szCs w:val="24"/>
          <w:lang w:eastAsia="it-IT"/>
        </w:rPr>
        <w:t>SEDE LEGALE GANGI</w:t>
      </w:r>
      <w:r>
        <w:rPr/>
        <w:t xml:space="preserve"> (PA) – P. IVA 05022980824.</w:t>
      </w:r>
    </w:p>
    <w:p>
      <w:pPr>
        <w:pStyle w:val="NormalWeb"/>
        <w:shd w:val="clear" w:color="auto" w:fill="FFFFFF"/>
        <w:spacing w:beforeAutospacing="0" w:before="0" w:afterAutospacing="0" w:after="0"/>
        <w:jc w:val="center"/>
        <w:rPr/>
      </w:pPr>
      <w:r>
        <w:rPr/>
        <w:t>LA COMMISSIONE GIUDICATRICE</w:t>
      </w:r>
    </w:p>
    <w:p>
      <w:pPr>
        <w:pStyle w:val="NormalWeb"/>
        <w:shd w:val="clear" w:color="auto" w:fill="FFFFFF"/>
        <w:spacing w:beforeAutospacing="0" w:before="0" w:afterAutospacing="0" w:after="0"/>
        <w:jc w:val="center"/>
        <w:rPr/>
      </w:pPr>
      <w:r>
        <w:rPr/>
      </w:r>
    </w:p>
    <w:p>
      <w:pPr>
        <w:pStyle w:val="NormalWeb"/>
        <w:shd w:val="clear" w:color="auto" w:fill="FFFFFF"/>
        <w:spacing w:beforeAutospacing="0" w:before="0" w:afterAutospacing="0" w:after="0"/>
        <w:jc w:val="left"/>
        <w:rPr/>
      </w:pPr>
      <w:r>
        <w:rPr/>
        <w:t>In data 16/12/2024, preso atto dei verbali di gara  n. 1, 2, 3 e 4, alle ore 10:16, procede in seduta riservata alla valutazione dell’offerta tecnica.</w:t>
      </w:r>
    </w:p>
    <w:p>
      <w:pPr>
        <w:pStyle w:val="NormalWeb"/>
        <w:shd w:val="clear" w:color="auto" w:fill="FFFFFF"/>
        <w:spacing w:beforeAutospacing="0" w:before="0" w:afterAutospacing="0" w:after="0"/>
        <w:jc w:val="left"/>
        <w:rPr/>
      </w:pPr>
      <w:r>
        <w:rPr/>
        <w:t>La Commissione prende atto, che secondo quanto stabilito dal disciplinare di gara, per la valutazione tecnica del progetto, risultano disponibili fino a 100 punti;</w:t>
      </w:r>
    </w:p>
    <w:p>
      <w:pPr>
        <w:pStyle w:val="NormalWeb"/>
        <w:shd w:val="clear" w:color="auto" w:fill="FFFFFF"/>
        <w:spacing w:beforeAutospacing="0" w:before="0" w:afterAutospacing="0" w:after="0"/>
        <w:jc w:val="left"/>
        <w:rPr/>
      </w:pPr>
      <w:r>
        <w:rPr/>
      </w:r>
    </w:p>
    <w:p>
      <w:pPr>
        <w:pStyle w:val="NormalWeb"/>
        <w:shd w:val="clear" w:color="auto" w:fill="FFFFFF"/>
        <w:spacing w:beforeAutospacing="0" w:before="0" w:afterAutospacing="0" w:after="0"/>
        <w:jc w:val="center"/>
        <w:rPr>
          <w:b/>
          <w:b/>
          <w:bCs/>
        </w:rPr>
      </w:pPr>
      <w:r>
        <w:rPr>
          <w:b/>
          <w:bCs/>
        </w:rPr>
        <w:t xml:space="preserve">Tabella dei criteri di valutazione dell’offerta tecnica dell’ operatore economico </w:t>
      </w:r>
    </w:p>
    <w:p>
      <w:pPr>
        <w:pStyle w:val="NormalWeb"/>
        <w:shd w:val="clear" w:color="auto" w:fill="FFFFFF"/>
        <w:spacing w:beforeAutospacing="0" w:before="0" w:afterAutospacing="0" w:after="0"/>
        <w:jc w:val="center"/>
        <w:rPr/>
      </w:pPr>
      <w:r>
        <w:rPr/>
        <w:t xml:space="preserve"> </w:t>
      </w:r>
      <w:r>
        <w:rPr/>
        <w:t>ASSOCIAZIONE CULTURALE PANORMUS</w:t>
      </w:r>
    </w:p>
    <w:p>
      <w:pPr>
        <w:pStyle w:val="NormalWeb"/>
        <w:shd w:val="clear" w:color="auto" w:fill="FFFFFF"/>
        <w:spacing w:beforeAutospacing="0" w:before="0" w:afterAutospacing="0" w:after="0"/>
        <w:jc w:val="center"/>
        <w:rPr/>
      </w:pPr>
      <w:r>
        <w:rPr/>
      </w:r>
    </w:p>
    <w:tbl>
      <w:tblPr>
        <w:tblW w:w="9642" w:type="dxa"/>
        <w:jc w:val="left"/>
        <w:tblInd w:w="0" w:type="dxa"/>
        <w:tblCellMar>
          <w:top w:w="55" w:type="dxa"/>
          <w:left w:w="55" w:type="dxa"/>
          <w:bottom w:w="55" w:type="dxa"/>
          <w:right w:w="55" w:type="dxa"/>
        </w:tblCellMar>
      </w:tblPr>
      <w:tblGrid>
        <w:gridCol w:w="7882"/>
        <w:gridCol w:w="1759"/>
      </w:tblGrid>
      <w:tr>
        <w:trPr/>
        <w:tc>
          <w:tcPr>
            <w:tcW w:w="7882" w:type="dxa"/>
            <w:tcBorders>
              <w:top w:val="single" w:sz="2" w:space="0" w:color="000000"/>
              <w:left w:val="single" w:sz="2" w:space="0" w:color="000000"/>
              <w:bottom w:val="single" w:sz="2" w:space="0" w:color="000000"/>
            </w:tcBorders>
          </w:tcPr>
          <w:p>
            <w:pPr>
              <w:pStyle w:val="Contenutotabella"/>
              <w:jc w:val="center"/>
              <w:rPr/>
            </w:pPr>
            <w:r>
              <w:rPr/>
              <w:t>CRITERIO DI VALUTAZIONE</w:t>
            </w:r>
          </w:p>
        </w:tc>
        <w:tc>
          <w:tcPr>
            <w:tcW w:w="1759" w:type="dxa"/>
            <w:tcBorders>
              <w:top w:val="single" w:sz="2" w:space="0" w:color="000000"/>
              <w:left w:val="single" w:sz="2" w:space="0" w:color="000000"/>
              <w:bottom w:val="single" w:sz="2" w:space="0" w:color="000000"/>
              <w:right w:val="single" w:sz="2" w:space="0" w:color="000000"/>
            </w:tcBorders>
          </w:tcPr>
          <w:p>
            <w:pPr>
              <w:pStyle w:val="Contenutotabella"/>
              <w:jc w:val="center"/>
              <w:rPr/>
            </w:pPr>
            <w:r>
              <w:rPr/>
              <w:t>PUNTEGGIO</w:t>
            </w:r>
          </w:p>
        </w:tc>
      </w:tr>
      <w:tr>
        <w:trPr/>
        <w:tc>
          <w:tcPr>
            <w:tcW w:w="7882" w:type="dxa"/>
            <w:tcBorders>
              <w:left w:val="single" w:sz="2" w:space="0" w:color="000000"/>
              <w:bottom w:val="single" w:sz="2" w:space="0" w:color="000000"/>
            </w:tcBorders>
          </w:tcPr>
          <w:p>
            <w:pPr>
              <w:pStyle w:val="Contenutotabella"/>
              <w:rPr/>
            </w:pPr>
            <w:r>
              <w:rPr/>
              <w:t xml:space="preserve">QUALITA’ DELLA PROPOSTA PROGETTUALE </w:t>
            </w:r>
          </w:p>
        </w:tc>
        <w:tc>
          <w:tcPr>
            <w:tcW w:w="1759" w:type="dxa"/>
            <w:tcBorders>
              <w:left w:val="single" w:sz="2" w:space="0" w:color="000000"/>
              <w:bottom w:val="single" w:sz="2" w:space="0" w:color="000000"/>
              <w:right w:val="single" w:sz="2" w:space="0" w:color="000000"/>
            </w:tcBorders>
          </w:tcPr>
          <w:p>
            <w:pPr>
              <w:pStyle w:val="Contenutotabella"/>
              <w:jc w:val="center"/>
              <w:rPr/>
            </w:pPr>
            <w:r>
              <w:rPr/>
              <w:t>15,20</w:t>
            </w:r>
          </w:p>
        </w:tc>
      </w:tr>
      <w:tr>
        <w:trPr/>
        <w:tc>
          <w:tcPr>
            <w:tcW w:w="7882" w:type="dxa"/>
            <w:tcBorders>
              <w:left w:val="single" w:sz="2" w:space="0" w:color="000000"/>
              <w:bottom w:val="single" w:sz="2" w:space="0" w:color="000000"/>
            </w:tcBorders>
          </w:tcPr>
          <w:p>
            <w:pPr>
              <w:pStyle w:val="Contenutotabella"/>
              <w:rPr/>
            </w:pPr>
            <w:r>
              <w:rPr/>
              <w:t>ORGANIZZAZIONE DEL SERVIZIO</w:t>
            </w:r>
          </w:p>
        </w:tc>
        <w:tc>
          <w:tcPr>
            <w:tcW w:w="1759" w:type="dxa"/>
            <w:tcBorders>
              <w:left w:val="single" w:sz="2" w:space="0" w:color="000000"/>
              <w:bottom w:val="single" w:sz="2" w:space="0" w:color="000000"/>
              <w:right w:val="single" w:sz="2" w:space="0" w:color="000000"/>
            </w:tcBorders>
          </w:tcPr>
          <w:p>
            <w:pPr>
              <w:pStyle w:val="Contenutotabella"/>
              <w:jc w:val="center"/>
              <w:rPr/>
            </w:pPr>
            <w:r>
              <w:rPr/>
              <w:t>15,20</w:t>
            </w:r>
          </w:p>
        </w:tc>
      </w:tr>
      <w:tr>
        <w:trPr/>
        <w:tc>
          <w:tcPr>
            <w:tcW w:w="7882" w:type="dxa"/>
            <w:tcBorders>
              <w:left w:val="single" w:sz="2" w:space="0" w:color="000000"/>
              <w:bottom w:val="single" w:sz="2" w:space="0" w:color="000000"/>
            </w:tcBorders>
          </w:tcPr>
          <w:p>
            <w:pPr>
              <w:pStyle w:val="Contenutotabella"/>
              <w:rPr/>
            </w:pPr>
            <w:r>
              <w:rPr/>
              <w:t xml:space="preserve">QUALITA’ RISORSE UMANE </w:t>
            </w:r>
          </w:p>
        </w:tc>
        <w:tc>
          <w:tcPr>
            <w:tcW w:w="1759" w:type="dxa"/>
            <w:tcBorders>
              <w:left w:val="single" w:sz="2" w:space="0" w:color="000000"/>
              <w:bottom w:val="single" w:sz="2" w:space="0" w:color="000000"/>
              <w:right w:val="single" w:sz="2" w:space="0" w:color="000000"/>
            </w:tcBorders>
          </w:tcPr>
          <w:p>
            <w:pPr>
              <w:pStyle w:val="Contenutotabella"/>
              <w:jc w:val="center"/>
              <w:rPr/>
            </w:pPr>
            <w:r>
              <w:rPr/>
              <w:t>15,20</w:t>
            </w:r>
          </w:p>
        </w:tc>
      </w:tr>
      <w:tr>
        <w:trPr/>
        <w:tc>
          <w:tcPr>
            <w:tcW w:w="7882" w:type="dxa"/>
            <w:tcBorders>
              <w:left w:val="single" w:sz="2" w:space="0" w:color="000000"/>
              <w:bottom w:val="single" w:sz="2" w:space="0" w:color="000000"/>
            </w:tcBorders>
          </w:tcPr>
          <w:p>
            <w:pPr>
              <w:pStyle w:val="Contenutotabella"/>
              <w:rPr/>
            </w:pPr>
            <w:r>
              <w:rPr/>
              <w:t>ESPERIENZE PROFESSIONALI ATTINENTI</w:t>
            </w:r>
          </w:p>
        </w:tc>
        <w:tc>
          <w:tcPr>
            <w:tcW w:w="1759" w:type="dxa"/>
            <w:tcBorders>
              <w:left w:val="single" w:sz="2" w:space="0" w:color="000000"/>
              <w:bottom w:val="single" w:sz="2" w:space="0" w:color="000000"/>
              <w:right w:val="single" w:sz="2" w:space="0" w:color="000000"/>
            </w:tcBorders>
          </w:tcPr>
          <w:p>
            <w:pPr>
              <w:pStyle w:val="Contenutotabella"/>
              <w:jc w:val="center"/>
              <w:rPr/>
            </w:pPr>
            <w:r>
              <w:rPr/>
              <w:t>0</w:t>
            </w:r>
          </w:p>
        </w:tc>
      </w:tr>
      <w:tr>
        <w:trPr/>
        <w:tc>
          <w:tcPr>
            <w:tcW w:w="7882" w:type="dxa"/>
            <w:tcBorders>
              <w:left w:val="single" w:sz="2" w:space="0" w:color="000000"/>
              <w:bottom w:val="single" w:sz="2" w:space="0" w:color="000000"/>
            </w:tcBorders>
          </w:tcPr>
          <w:p>
            <w:pPr>
              <w:pStyle w:val="Contenutotabella"/>
              <w:rPr/>
            </w:pPr>
            <w:r>
              <w:rPr/>
              <w:t>SERVIZI AGGIUNTIVI</w:t>
            </w:r>
          </w:p>
        </w:tc>
        <w:tc>
          <w:tcPr>
            <w:tcW w:w="1759" w:type="dxa"/>
            <w:tcBorders>
              <w:left w:val="single" w:sz="2" w:space="0" w:color="000000"/>
              <w:bottom w:val="single" w:sz="2" w:space="0" w:color="000000"/>
              <w:right w:val="single" w:sz="2" w:space="0" w:color="000000"/>
            </w:tcBorders>
          </w:tcPr>
          <w:p>
            <w:pPr>
              <w:pStyle w:val="Contenutotabella"/>
              <w:jc w:val="center"/>
              <w:rPr/>
            </w:pPr>
            <w:r>
              <w:rPr/>
              <w:t>6</w:t>
            </w:r>
          </w:p>
        </w:tc>
      </w:tr>
      <w:tr>
        <w:trPr/>
        <w:tc>
          <w:tcPr>
            <w:tcW w:w="7882" w:type="dxa"/>
            <w:tcBorders>
              <w:left w:val="single" w:sz="2" w:space="0" w:color="000000"/>
              <w:bottom w:val="single" w:sz="2" w:space="0" w:color="000000"/>
            </w:tcBorders>
          </w:tcPr>
          <w:p>
            <w:pPr>
              <w:pStyle w:val="Contenutotabella"/>
              <w:rPr/>
            </w:pPr>
            <w:r>
              <w:rPr/>
              <w:t>PROPOSTE MIGLIORATIVE</w:t>
            </w:r>
          </w:p>
        </w:tc>
        <w:tc>
          <w:tcPr>
            <w:tcW w:w="1759" w:type="dxa"/>
            <w:tcBorders>
              <w:left w:val="single" w:sz="2" w:space="0" w:color="000000"/>
              <w:bottom w:val="single" w:sz="2" w:space="0" w:color="000000"/>
              <w:right w:val="single" w:sz="2" w:space="0" w:color="000000"/>
            </w:tcBorders>
          </w:tcPr>
          <w:p>
            <w:pPr>
              <w:pStyle w:val="Contenutotabella"/>
              <w:jc w:val="center"/>
              <w:rPr/>
            </w:pPr>
            <w:r>
              <w:rPr/>
              <w:t>1</w:t>
            </w:r>
          </w:p>
        </w:tc>
      </w:tr>
      <w:tr>
        <w:trPr/>
        <w:tc>
          <w:tcPr>
            <w:tcW w:w="7882" w:type="dxa"/>
            <w:tcBorders>
              <w:left w:val="single" w:sz="2" w:space="0" w:color="000000"/>
              <w:bottom w:val="single" w:sz="2" w:space="0" w:color="000000"/>
            </w:tcBorders>
          </w:tcPr>
          <w:p>
            <w:pPr>
              <w:pStyle w:val="Contenutotabella"/>
              <w:rPr/>
            </w:pPr>
            <w:r>
              <w:rPr/>
              <w:t>RETE TERRITORIALE FORMALIZZATA</w:t>
            </w:r>
          </w:p>
        </w:tc>
        <w:tc>
          <w:tcPr>
            <w:tcW w:w="1759" w:type="dxa"/>
            <w:tcBorders>
              <w:left w:val="single" w:sz="2" w:space="0" w:color="000000"/>
              <w:bottom w:val="single" w:sz="2" w:space="0" w:color="000000"/>
              <w:right w:val="single" w:sz="2" w:space="0" w:color="000000"/>
            </w:tcBorders>
          </w:tcPr>
          <w:p>
            <w:pPr>
              <w:pStyle w:val="Contenutotabella"/>
              <w:jc w:val="center"/>
              <w:rPr/>
            </w:pPr>
            <w:r>
              <w:rPr/>
              <w:t>0</w:t>
            </w:r>
          </w:p>
        </w:tc>
      </w:tr>
      <w:tr>
        <w:trPr/>
        <w:tc>
          <w:tcPr>
            <w:tcW w:w="7882" w:type="dxa"/>
            <w:tcBorders>
              <w:left w:val="single" w:sz="2" w:space="0" w:color="000000"/>
              <w:bottom w:val="single" w:sz="2" w:space="0" w:color="000000"/>
            </w:tcBorders>
          </w:tcPr>
          <w:p>
            <w:pPr>
              <w:pStyle w:val="Contenutotabella"/>
              <w:rPr/>
            </w:pPr>
            <w:r>
              <w:rPr/>
              <w:t>CERTIFICAZIONI DEL CONCORRENTE E CLAUSOLE PRELIMINARI</w:t>
            </w:r>
          </w:p>
        </w:tc>
        <w:tc>
          <w:tcPr>
            <w:tcW w:w="1759" w:type="dxa"/>
            <w:tcBorders>
              <w:left w:val="single" w:sz="2" w:space="0" w:color="000000"/>
              <w:bottom w:val="single" w:sz="2" w:space="0" w:color="000000"/>
              <w:right w:val="single" w:sz="2" w:space="0" w:color="000000"/>
            </w:tcBorders>
          </w:tcPr>
          <w:p>
            <w:pPr>
              <w:pStyle w:val="Contenutotabella"/>
              <w:jc w:val="center"/>
              <w:rPr/>
            </w:pPr>
            <w:r>
              <w:rPr/>
              <w:t>1</w:t>
            </w:r>
          </w:p>
        </w:tc>
      </w:tr>
      <w:tr>
        <w:trPr/>
        <w:tc>
          <w:tcPr>
            <w:tcW w:w="7882" w:type="dxa"/>
            <w:tcBorders>
              <w:left w:val="single" w:sz="2" w:space="0" w:color="000000"/>
              <w:bottom w:val="single" w:sz="2" w:space="0" w:color="000000"/>
            </w:tcBorders>
          </w:tcPr>
          <w:p>
            <w:pPr>
              <w:pStyle w:val="Contenutotabella"/>
              <w:jc w:val="right"/>
              <w:rPr/>
            </w:pPr>
            <w:r>
              <w:rPr/>
              <w:t>TOTALE</w:t>
            </w:r>
          </w:p>
        </w:tc>
        <w:tc>
          <w:tcPr>
            <w:tcW w:w="1759" w:type="dxa"/>
            <w:tcBorders>
              <w:left w:val="single" w:sz="2" w:space="0" w:color="000000"/>
              <w:bottom w:val="single" w:sz="2" w:space="0" w:color="000000"/>
              <w:right w:val="single" w:sz="2" w:space="0" w:color="000000"/>
            </w:tcBorders>
          </w:tcPr>
          <w:p>
            <w:pPr>
              <w:pStyle w:val="Contenutotabella"/>
              <w:jc w:val="center"/>
              <w:rPr/>
            </w:pPr>
            <w:r>
              <w:rPr/>
              <w:t>53,60</w:t>
            </w:r>
          </w:p>
        </w:tc>
      </w:tr>
    </w:tbl>
    <w:p>
      <w:pPr>
        <w:pStyle w:val="NormalWeb"/>
        <w:shd w:val="clear" w:color="auto" w:fill="FFFFFF"/>
        <w:spacing w:beforeAutospacing="0" w:before="0" w:afterAutospacing="0" w:after="0"/>
        <w:jc w:val="center"/>
        <w:rPr/>
      </w:pPr>
      <w:r>
        <w:rPr/>
      </w:r>
    </w:p>
    <w:p>
      <w:pPr>
        <w:pStyle w:val="NormalWeb"/>
        <w:shd w:val="clear" w:color="auto" w:fill="FFFFFF"/>
        <w:spacing w:beforeAutospacing="0" w:before="0" w:afterAutospacing="0" w:after="0"/>
        <w:jc w:val="center"/>
        <w:rPr/>
      </w:pPr>
      <w:r>
        <w:rPr/>
      </w:r>
    </w:p>
    <w:p>
      <w:pPr>
        <w:pStyle w:val="NormalWeb"/>
        <w:shd w:val="clear" w:color="auto" w:fill="FFFFFF"/>
        <w:spacing w:beforeAutospacing="0" w:before="0" w:afterAutospacing="0" w:after="0"/>
        <w:jc w:val="center"/>
        <w:rPr>
          <w:b/>
          <w:b/>
          <w:bCs/>
        </w:rPr>
      </w:pPr>
      <w:r>
        <w:rPr>
          <w:b/>
          <w:bCs/>
        </w:rPr>
        <w:t xml:space="preserve">Tabella dei criteri di valutazione dell’offerta tecnica dell’ operatore economico </w:t>
      </w:r>
    </w:p>
    <w:p>
      <w:pPr>
        <w:pStyle w:val="NormalWeb"/>
        <w:widowControl/>
        <w:shd w:val="clear" w:color="auto" w:fill="FFFFFF"/>
        <w:suppressAutoHyphens w:val="false"/>
        <w:bidi w:val="0"/>
        <w:spacing w:beforeAutospacing="0" w:before="0" w:afterAutospacing="0" w:after="0"/>
        <w:ind w:left="397" w:right="0" w:hanging="340"/>
        <w:jc w:val="center"/>
        <w:rPr/>
      </w:pPr>
      <w:r>
        <w:rPr/>
        <w:t>COSMOPOLIS SOCIETA’ COOPERATIVA</w:t>
      </w:r>
    </w:p>
    <w:p>
      <w:pPr>
        <w:pStyle w:val="NormalWeb"/>
        <w:shd w:val="clear" w:color="auto" w:fill="FFFFFF"/>
        <w:spacing w:beforeAutospacing="0" w:before="0" w:afterAutospacing="0" w:after="0"/>
        <w:jc w:val="center"/>
        <w:rPr/>
      </w:pPr>
      <w:r>
        <w:rPr/>
      </w:r>
    </w:p>
    <w:tbl>
      <w:tblPr>
        <w:tblW w:w="9642" w:type="dxa"/>
        <w:jc w:val="left"/>
        <w:tblInd w:w="0" w:type="dxa"/>
        <w:tblCellMar>
          <w:top w:w="55" w:type="dxa"/>
          <w:left w:w="55" w:type="dxa"/>
          <w:bottom w:w="55" w:type="dxa"/>
          <w:right w:w="55" w:type="dxa"/>
        </w:tblCellMar>
      </w:tblPr>
      <w:tblGrid>
        <w:gridCol w:w="7882"/>
        <w:gridCol w:w="1759"/>
      </w:tblGrid>
      <w:tr>
        <w:trPr/>
        <w:tc>
          <w:tcPr>
            <w:tcW w:w="7882" w:type="dxa"/>
            <w:tcBorders>
              <w:top w:val="single" w:sz="2" w:space="0" w:color="000000"/>
              <w:left w:val="single" w:sz="2" w:space="0" w:color="000000"/>
              <w:bottom w:val="single" w:sz="2" w:space="0" w:color="000000"/>
            </w:tcBorders>
          </w:tcPr>
          <w:p>
            <w:pPr>
              <w:pStyle w:val="Contenutotabella"/>
              <w:jc w:val="center"/>
              <w:rPr/>
            </w:pPr>
            <w:r>
              <w:rPr/>
              <w:t>CRITERIO DI VALUTAZIONE</w:t>
            </w:r>
          </w:p>
        </w:tc>
        <w:tc>
          <w:tcPr>
            <w:tcW w:w="1759" w:type="dxa"/>
            <w:tcBorders>
              <w:top w:val="single" w:sz="2" w:space="0" w:color="000000"/>
              <w:left w:val="single" w:sz="2" w:space="0" w:color="000000"/>
              <w:bottom w:val="single" w:sz="2" w:space="0" w:color="000000"/>
              <w:right w:val="single" w:sz="2" w:space="0" w:color="000000"/>
            </w:tcBorders>
          </w:tcPr>
          <w:p>
            <w:pPr>
              <w:pStyle w:val="Contenutotabella"/>
              <w:jc w:val="center"/>
              <w:rPr/>
            </w:pPr>
            <w:r>
              <w:rPr/>
              <w:t>PUNTEGGIO</w:t>
            </w:r>
          </w:p>
        </w:tc>
      </w:tr>
      <w:tr>
        <w:trPr/>
        <w:tc>
          <w:tcPr>
            <w:tcW w:w="7882" w:type="dxa"/>
            <w:tcBorders>
              <w:left w:val="single" w:sz="2" w:space="0" w:color="000000"/>
              <w:bottom w:val="single" w:sz="2" w:space="0" w:color="000000"/>
            </w:tcBorders>
          </w:tcPr>
          <w:p>
            <w:pPr>
              <w:pStyle w:val="Contenutotabella"/>
              <w:rPr/>
            </w:pPr>
            <w:r>
              <w:rPr/>
              <w:t xml:space="preserve">QUALITA’ DELLA PROPOSTA PROGETTUALE </w:t>
            </w:r>
          </w:p>
        </w:tc>
        <w:tc>
          <w:tcPr>
            <w:tcW w:w="1759" w:type="dxa"/>
            <w:tcBorders>
              <w:left w:val="single" w:sz="2" w:space="0" w:color="000000"/>
              <w:bottom w:val="single" w:sz="2" w:space="0" w:color="000000"/>
              <w:right w:val="single" w:sz="2" w:space="0" w:color="000000"/>
            </w:tcBorders>
          </w:tcPr>
          <w:p>
            <w:pPr>
              <w:pStyle w:val="Contenutotabella"/>
              <w:jc w:val="center"/>
              <w:rPr/>
            </w:pPr>
            <w:r>
              <w:rPr/>
              <w:t>17,10</w:t>
            </w:r>
          </w:p>
        </w:tc>
      </w:tr>
      <w:tr>
        <w:trPr/>
        <w:tc>
          <w:tcPr>
            <w:tcW w:w="7882" w:type="dxa"/>
            <w:tcBorders>
              <w:left w:val="single" w:sz="2" w:space="0" w:color="000000"/>
              <w:bottom w:val="single" w:sz="2" w:space="0" w:color="000000"/>
            </w:tcBorders>
          </w:tcPr>
          <w:p>
            <w:pPr>
              <w:pStyle w:val="Contenutotabella"/>
              <w:rPr/>
            </w:pPr>
            <w:r>
              <w:rPr/>
              <w:t>ORGANIZZAZIONE DEL SERVIZIO</w:t>
            </w:r>
          </w:p>
        </w:tc>
        <w:tc>
          <w:tcPr>
            <w:tcW w:w="1759" w:type="dxa"/>
            <w:tcBorders>
              <w:left w:val="single" w:sz="2" w:space="0" w:color="000000"/>
              <w:bottom w:val="single" w:sz="2" w:space="0" w:color="000000"/>
              <w:right w:val="single" w:sz="2" w:space="0" w:color="000000"/>
            </w:tcBorders>
          </w:tcPr>
          <w:p>
            <w:pPr>
              <w:pStyle w:val="Contenutotabella"/>
              <w:jc w:val="center"/>
              <w:rPr/>
            </w:pPr>
            <w:r>
              <w:rPr/>
              <w:t>17,10</w:t>
            </w:r>
          </w:p>
        </w:tc>
      </w:tr>
      <w:tr>
        <w:trPr/>
        <w:tc>
          <w:tcPr>
            <w:tcW w:w="7882" w:type="dxa"/>
            <w:tcBorders>
              <w:left w:val="single" w:sz="2" w:space="0" w:color="000000"/>
              <w:bottom w:val="single" w:sz="2" w:space="0" w:color="000000"/>
            </w:tcBorders>
          </w:tcPr>
          <w:p>
            <w:pPr>
              <w:pStyle w:val="Contenutotabella"/>
              <w:rPr/>
            </w:pPr>
            <w:r>
              <w:rPr/>
              <w:t xml:space="preserve">QUALITA’ RISORSE UMANE </w:t>
            </w:r>
          </w:p>
        </w:tc>
        <w:tc>
          <w:tcPr>
            <w:tcW w:w="1759" w:type="dxa"/>
            <w:tcBorders>
              <w:left w:val="single" w:sz="2" w:space="0" w:color="000000"/>
              <w:bottom w:val="single" w:sz="2" w:space="0" w:color="000000"/>
              <w:right w:val="single" w:sz="2" w:space="0" w:color="000000"/>
            </w:tcBorders>
          </w:tcPr>
          <w:p>
            <w:pPr>
              <w:pStyle w:val="Contenutotabella"/>
              <w:jc w:val="center"/>
              <w:rPr/>
            </w:pPr>
            <w:r>
              <w:rPr/>
              <w:t>17,10</w:t>
            </w:r>
          </w:p>
        </w:tc>
      </w:tr>
      <w:tr>
        <w:trPr/>
        <w:tc>
          <w:tcPr>
            <w:tcW w:w="7882" w:type="dxa"/>
            <w:tcBorders>
              <w:left w:val="single" w:sz="2" w:space="0" w:color="000000"/>
              <w:bottom w:val="single" w:sz="2" w:space="0" w:color="000000"/>
            </w:tcBorders>
          </w:tcPr>
          <w:p>
            <w:pPr>
              <w:pStyle w:val="Contenutotabella"/>
              <w:rPr/>
            </w:pPr>
            <w:r>
              <w:rPr/>
              <w:t>ESPERIENZE PROFESSIONALI ATTINENTI</w:t>
            </w:r>
          </w:p>
        </w:tc>
        <w:tc>
          <w:tcPr>
            <w:tcW w:w="1759" w:type="dxa"/>
            <w:tcBorders>
              <w:left w:val="single" w:sz="2" w:space="0" w:color="000000"/>
              <w:bottom w:val="single" w:sz="2" w:space="0" w:color="000000"/>
              <w:right w:val="single" w:sz="2" w:space="0" w:color="000000"/>
            </w:tcBorders>
          </w:tcPr>
          <w:p>
            <w:pPr>
              <w:pStyle w:val="Contenutotabella"/>
              <w:jc w:val="center"/>
              <w:rPr/>
            </w:pPr>
            <w:r>
              <w:rPr/>
              <w:t>3</w:t>
            </w:r>
          </w:p>
        </w:tc>
      </w:tr>
      <w:tr>
        <w:trPr/>
        <w:tc>
          <w:tcPr>
            <w:tcW w:w="7882" w:type="dxa"/>
            <w:tcBorders>
              <w:left w:val="single" w:sz="2" w:space="0" w:color="000000"/>
              <w:bottom w:val="single" w:sz="2" w:space="0" w:color="000000"/>
            </w:tcBorders>
          </w:tcPr>
          <w:p>
            <w:pPr>
              <w:pStyle w:val="Contenutotabella"/>
              <w:rPr/>
            </w:pPr>
            <w:r>
              <w:rPr/>
              <w:t>SERVIZI AGGIUNTIVI</w:t>
            </w:r>
          </w:p>
        </w:tc>
        <w:tc>
          <w:tcPr>
            <w:tcW w:w="1759" w:type="dxa"/>
            <w:tcBorders>
              <w:left w:val="single" w:sz="2" w:space="0" w:color="000000"/>
              <w:bottom w:val="single" w:sz="2" w:space="0" w:color="000000"/>
              <w:right w:val="single" w:sz="2" w:space="0" w:color="000000"/>
            </w:tcBorders>
          </w:tcPr>
          <w:p>
            <w:pPr>
              <w:pStyle w:val="Contenutotabella"/>
              <w:jc w:val="center"/>
              <w:rPr/>
            </w:pPr>
            <w:r>
              <w:rPr/>
              <w:t>6</w:t>
            </w:r>
          </w:p>
        </w:tc>
      </w:tr>
      <w:tr>
        <w:trPr/>
        <w:tc>
          <w:tcPr>
            <w:tcW w:w="7882" w:type="dxa"/>
            <w:tcBorders>
              <w:left w:val="single" w:sz="2" w:space="0" w:color="000000"/>
              <w:bottom w:val="single" w:sz="2" w:space="0" w:color="000000"/>
            </w:tcBorders>
          </w:tcPr>
          <w:p>
            <w:pPr>
              <w:pStyle w:val="Contenutotabella"/>
              <w:rPr/>
            </w:pPr>
            <w:r>
              <w:rPr/>
              <w:t>PROPOSTE MIGLIORATIVE</w:t>
            </w:r>
          </w:p>
        </w:tc>
        <w:tc>
          <w:tcPr>
            <w:tcW w:w="1759" w:type="dxa"/>
            <w:tcBorders>
              <w:left w:val="single" w:sz="2" w:space="0" w:color="000000"/>
              <w:bottom w:val="single" w:sz="2" w:space="0" w:color="000000"/>
              <w:right w:val="single" w:sz="2" w:space="0" w:color="000000"/>
            </w:tcBorders>
          </w:tcPr>
          <w:p>
            <w:pPr>
              <w:pStyle w:val="Contenutotabella"/>
              <w:jc w:val="center"/>
              <w:rPr/>
            </w:pPr>
            <w:r>
              <w:rPr/>
              <w:t>1</w:t>
            </w:r>
          </w:p>
        </w:tc>
      </w:tr>
      <w:tr>
        <w:trPr/>
        <w:tc>
          <w:tcPr>
            <w:tcW w:w="7882" w:type="dxa"/>
            <w:tcBorders>
              <w:left w:val="single" w:sz="2" w:space="0" w:color="000000"/>
              <w:bottom w:val="single" w:sz="2" w:space="0" w:color="000000"/>
            </w:tcBorders>
          </w:tcPr>
          <w:p>
            <w:pPr>
              <w:pStyle w:val="Contenutotabella"/>
              <w:rPr/>
            </w:pPr>
            <w:r>
              <w:rPr/>
              <w:t>RETE TERRITORIALE FORMALIZZATA</w:t>
            </w:r>
          </w:p>
        </w:tc>
        <w:tc>
          <w:tcPr>
            <w:tcW w:w="1759" w:type="dxa"/>
            <w:tcBorders>
              <w:left w:val="single" w:sz="2" w:space="0" w:color="000000"/>
              <w:bottom w:val="single" w:sz="2" w:space="0" w:color="000000"/>
              <w:right w:val="single" w:sz="2" w:space="0" w:color="000000"/>
            </w:tcBorders>
          </w:tcPr>
          <w:p>
            <w:pPr>
              <w:pStyle w:val="Contenutotabella"/>
              <w:jc w:val="center"/>
              <w:rPr/>
            </w:pPr>
            <w:r>
              <w:rPr/>
              <w:t>3</w:t>
            </w:r>
          </w:p>
        </w:tc>
      </w:tr>
      <w:tr>
        <w:trPr/>
        <w:tc>
          <w:tcPr>
            <w:tcW w:w="7882" w:type="dxa"/>
            <w:tcBorders>
              <w:left w:val="single" w:sz="2" w:space="0" w:color="000000"/>
              <w:bottom w:val="single" w:sz="2" w:space="0" w:color="000000"/>
            </w:tcBorders>
          </w:tcPr>
          <w:p>
            <w:pPr>
              <w:pStyle w:val="Contenutotabella"/>
              <w:rPr/>
            </w:pPr>
            <w:r>
              <w:rPr/>
              <w:t>CERTIFICAZIONI DEL CONCORRENTE E CLAUSOLE PRELIMINARI</w:t>
            </w:r>
          </w:p>
        </w:tc>
        <w:tc>
          <w:tcPr>
            <w:tcW w:w="1759" w:type="dxa"/>
            <w:tcBorders>
              <w:left w:val="single" w:sz="2" w:space="0" w:color="000000"/>
              <w:bottom w:val="single" w:sz="2" w:space="0" w:color="000000"/>
              <w:right w:val="single" w:sz="2" w:space="0" w:color="000000"/>
            </w:tcBorders>
          </w:tcPr>
          <w:p>
            <w:pPr>
              <w:pStyle w:val="Contenutotabella"/>
              <w:jc w:val="center"/>
              <w:rPr/>
            </w:pPr>
            <w:r>
              <w:rPr/>
              <w:t>1</w:t>
            </w:r>
          </w:p>
        </w:tc>
      </w:tr>
      <w:tr>
        <w:trPr/>
        <w:tc>
          <w:tcPr>
            <w:tcW w:w="7882" w:type="dxa"/>
            <w:tcBorders>
              <w:left w:val="single" w:sz="2" w:space="0" w:color="000000"/>
              <w:bottom w:val="single" w:sz="2" w:space="0" w:color="000000"/>
            </w:tcBorders>
          </w:tcPr>
          <w:p>
            <w:pPr>
              <w:pStyle w:val="Contenutotabella"/>
              <w:jc w:val="right"/>
              <w:rPr/>
            </w:pPr>
            <w:r>
              <w:rPr/>
              <w:t>TOTALE</w:t>
            </w:r>
          </w:p>
        </w:tc>
        <w:tc>
          <w:tcPr>
            <w:tcW w:w="1759" w:type="dxa"/>
            <w:tcBorders>
              <w:left w:val="single" w:sz="2" w:space="0" w:color="000000"/>
              <w:bottom w:val="single" w:sz="2" w:space="0" w:color="000000"/>
              <w:right w:val="single" w:sz="2" w:space="0" w:color="000000"/>
            </w:tcBorders>
          </w:tcPr>
          <w:p>
            <w:pPr>
              <w:pStyle w:val="Contenutotabella"/>
              <w:jc w:val="center"/>
              <w:rPr/>
            </w:pPr>
            <w:r>
              <w:rPr/>
              <w:t>65,30</w:t>
            </w:r>
          </w:p>
        </w:tc>
      </w:tr>
    </w:tbl>
    <w:p>
      <w:pPr>
        <w:pStyle w:val="Normal"/>
        <w:rPr/>
      </w:pPr>
      <w:r>
        <w:rPr/>
      </w:r>
    </w:p>
    <w:p>
      <w:pPr>
        <w:pStyle w:val="Normal"/>
        <w:rPr/>
      </w:pPr>
      <w:r>
        <w:rPr/>
        <w:t>Concluse le operazioni riportate, il Presidente da atto che la seduta pubblica per la valutazione dell’offerta economica si terrà giorno 18/12/2024 alle ore 15:00.</w:t>
      </w:r>
    </w:p>
    <w:p>
      <w:pPr>
        <w:pStyle w:val="Normal"/>
        <w:rPr/>
      </w:pPr>
      <w:r>
        <w:rPr/>
      </w:r>
    </w:p>
    <w:p>
      <w:pPr>
        <w:pStyle w:val="Normal"/>
        <w:rPr/>
      </w:pPr>
      <w:r>
        <w:rPr/>
        <w:t>Alle ore 12:45 il Presidente dichiara chiusa la seduta riservata.</w:t>
      </w:r>
    </w:p>
    <w:p>
      <w:pPr>
        <w:pStyle w:val="Normal"/>
        <w:rPr/>
      </w:pPr>
      <w:r>
        <w:rPr/>
      </w:r>
    </w:p>
    <w:p>
      <w:pPr>
        <w:pStyle w:val="Normal"/>
        <w:rPr/>
      </w:pPr>
      <w:r>
        <w:rPr/>
        <w:t>Letto, confermato e sottoscritto.</w:t>
      </w:r>
    </w:p>
    <w:p>
      <w:pPr>
        <w:pStyle w:val="Normal"/>
        <w:rPr/>
      </w:pPr>
      <w:r>
        <w:rPr/>
      </w:r>
    </w:p>
    <w:p>
      <w:pPr>
        <w:pStyle w:val="Normal"/>
        <w:rPr>
          <w:b/>
          <w:b/>
          <w:bCs/>
        </w:rPr>
      </w:pPr>
      <w:r>
        <w:rPr>
          <w:b/>
          <w:bCs/>
        </w:rPr>
        <w:t xml:space="preserve">Il Presidente </w:t>
      </w:r>
    </w:p>
    <w:p>
      <w:pPr>
        <w:pStyle w:val="Normal"/>
        <w:rPr/>
      </w:pPr>
      <w:r>
        <w:rPr/>
      </w:r>
    </w:p>
    <w:p>
      <w:pPr>
        <w:pStyle w:val="Normal"/>
        <w:rPr/>
      </w:pPr>
      <w:r>
        <w:rPr/>
        <w:t xml:space="preserve"> </w:t>
      </w:r>
      <w:r>
        <w:rPr/>
        <w:t>Dr. Salvatore Gangi____________________</w:t>
      </w:r>
    </w:p>
    <w:p>
      <w:pPr>
        <w:pStyle w:val="Normal"/>
        <w:rPr/>
      </w:pPr>
      <w:r>
        <w:rPr/>
      </w:r>
    </w:p>
    <w:p>
      <w:pPr>
        <w:pStyle w:val="Normal"/>
        <w:rPr>
          <w:b/>
          <w:b/>
          <w:bCs/>
        </w:rPr>
      </w:pPr>
      <w:r>
        <w:rPr>
          <w:b/>
          <w:bCs/>
        </w:rPr>
        <w:t>I Componenti</w:t>
      </w:r>
    </w:p>
    <w:p>
      <w:pPr>
        <w:pStyle w:val="Normal"/>
        <w:rPr/>
      </w:pPr>
      <w:r>
        <w:rPr/>
        <w:t>Dott.ssa Caterina Sarcià__________________</w:t>
      </w:r>
    </w:p>
    <w:p>
      <w:pPr>
        <w:pStyle w:val="Normal"/>
        <w:rPr/>
      </w:pPr>
      <w:r>
        <w:rPr/>
      </w:r>
    </w:p>
    <w:p>
      <w:pPr>
        <w:pStyle w:val="Normal"/>
        <w:rPr/>
      </w:pPr>
      <w:r>
        <w:rPr/>
      </w:r>
    </w:p>
    <w:p>
      <w:pPr>
        <w:pStyle w:val="Normal"/>
        <w:rPr/>
      </w:pPr>
      <w:r>
        <w:rPr/>
        <w:t>Dott. Emanuele Miceli___________________</w:t>
      </w:r>
    </w:p>
    <w:p>
      <w:pPr>
        <w:pStyle w:val="Normal"/>
        <w:rPr/>
      </w:pPr>
      <w:r>
        <w:rPr/>
      </w:r>
    </w:p>
    <w:p>
      <w:pPr>
        <w:pStyle w:val="Normal"/>
        <w:rPr>
          <w:b/>
          <w:b/>
          <w:bCs/>
        </w:rPr>
      </w:pPr>
      <w:r>
        <w:rPr>
          <w:b/>
          <w:bCs/>
        </w:rPr>
        <w:t>Il Segretario Verbalizzante</w:t>
      </w:r>
    </w:p>
    <w:p>
      <w:pPr>
        <w:pStyle w:val="Normal"/>
        <w:rPr/>
      </w:pPr>
      <w:r>
        <w:rPr/>
      </w:r>
    </w:p>
    <w:p>
      <w:pPr>
        <w:pStyle w:val="Normal"/>
        <w:rPr/>
      </w:pPr>
      <w:r>
        <w:rPr/>
        <w:t>Il Sig. Ezio Berti________________________</w:t>
      </w:r>
    </w:p>
    <w:sectPr>
      <w:headerReference w:type="default" r:id="rId5"/>
      <w:type w:val="nextPage"/>
      <w:pgSz w:w="11906" w:h="16838"/>
      <w:pgMar w:left="1134" w:right="1134" w:header="708" w:top="993"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Trebuchet MS">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left" w:pos="2552" w:leader="none"/>
        <w:tab w:val="center" w:pos="4819" w:leader="none"/>
        <w:tab w:val="right" w:pos="9638" w:leader="none"/>
      </w:tabs>
      <w:rPr/>
    </w:pPr>
    <w:r>
      <w:rPr/>
    </w:r>
  </w:p>
  <w:p>
    <w:pPr>
      <w:pStyle w:val="Intestazione"/>
      <w:rPr/>
    </w:pPr>
    <w:r>
      <w:rPr/>
    </w:r>
  </w:p>
  <w:p>
    <w:pPr>
      <w:pStyle w:val="Intestazione"/>
      <w:rPr/>
    </w:pPr>
    <w:r>
      <w:rPr/>
    </w:r>
  </w:p>
  <w:p>
    <w:pPr>
      <w:pStyle w:val="Intestazione"/>
      <w:rPr/>
    </w:pPr>
    <w:r>
      <w:rPr/>
    </w:r>
  </w:p>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ef8"/>
    <w:pPr>
      <w:widowControl/>
      <w:suppressAutoHyphens w:val="false"/>
      <w:bidi w:val="0"/>
      <w:spacing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unhideWhenUsed/>
    <w:qFormat/>
    <w:rPr/>
  </w:style>
  <w:style w:type="character" w:styleId="TestonotaapidipaginaCarattere" w:customStyle="1">
    <w:name w:val="Testo nota a piè di pagina Carattere"/>
    <w:basedOn w:val="DefaultParagraphFont"/>
    <w:link w:val="Testonotaapidipagina"/>
    <w:uiPriority w:val="99"/>
    <w:semiHidden/>
    <w:qFormat/>
    <w:rsid w:val="00581b85"/>
    <w:rPr>
      <w:sz w:val="20"/>
      <w:szCs w:val="20"/>
    </w:rPr>
  </w:style>
  <w:style w:type="character" w:styleId="Richiamoallanotaapidipagina" w:customStyle="1">
    <w:name w:val="Richiamo alla nota a piè di pagina"/>
    <w:rPr>
      <w:vertAlign w:val="superscript"/>
    </w:rPr>
  </w:style>
  <w:style w:type="character" w:styleId="FootnoteCharacters">
    <w:name w:val="Footnote Characters"/>
    <w:basedOn w:val="DefaultParagraphFont"/>
    <w:uiPriority w:val="99"/>
    <w:semiHidden/>
    <w:unhideWhenUsed/>
    <w:qFormat/>
    <w:rsid w:val="00942e88"/>
    <w:rPr>
      <w:vertAlign w:val="superscript"/>
    </w:rPr>
  </w:style>
  <w:style w:type="character" w:styleId="Annotationreference">
    <w:name w:val="annotation reference"/>
    <w:basedOn w:val="DefaultParagraphFont"/>
    <w:uiPriority w:val="99"/>
    <w:semiHidden/>
    <w:unhideWhenUsed/>
    <w:qFormat/>
    <w:rsid w:val="00a94bd0"/>
    <w:rPr>
      <w:sz w:val="16"/>
      <w:szCs w:val="16"/>
    </w:rPr>
  </w:style>
  <w:style w:type="character" w:styleId="TestocommentoCarattere" w:customStyle="1">
    <w:name w:val="Testo commento Carattere"/>
    <w:basedOn w:val="DefaultParagraphFont"/>
    <w:link w:val="Testocommento"/>
    <w:uiPriority w:val="99"/>
    <w:qFormat/>
    <w:rsid w:val="00a94bd0"/>
    <w:rPr>
      <w:sz w:val="20"/>
      <w:szCs w:val="20"/>
    </w:rPr>
  </w:style>
  <w:style w:type="character" w:styleId="SoggettocommentoCarattere" w:customStyle="1">
    <w:name w:val="Soggetto commento Carattere"/>
    <w:basedOn w:val="TestocommentoCarattere"/>
    <w:link w:val="Soggettocommento"/>
    <w:uiPriority w:val="99"/>
    <w:semiHidden/>
    <w:qFormat/>
    <w:rsid w:val="00a94bd0"/>
    <w:rPr>
      <w:b/>
      <w:bCs/>
      <w:sz w:val="20"/>
      <w:szCs w:val="20"/>
    </w:rPr>
  </w:style>
  <w:style w:type="character" w:styleId="TestofumettoCarattere" w:customStyle="1">
    <w:name w:val="Testo fumetto Carattere"/>
    <w:basedOn w:val="DefaultParagraphFont"/>
    <w:link w:val="Testofumetto"/>
    <w:uiPriority w:val="99"/>
    <w:semiHidden/>
    <w:qFormat/>
    <w:rsid w:val="00a94bd0"/>
    <w:rPr>
      <w:rFonts w:ascii="Segoe UI" w:hAnsi="Segoe UI" w:cs="Segoe UI"/>
      <w:sz w:val="18"/>
      <w:szCs w:val="18"/>
    </w:rPr>
  </w:style>
  <w:style w:type="character" w:styleId="Uiprovider" w:customStyle="1">
    <w:name w:val="ui-provider"/>
    <w:basedOn w:val="DefaultParagraphFont"/>
    <w:qFormat/>
    <w:rsid w:val="00c7435b"/>
    <w:rPr/>
  </w:style>
  <w:style w:type="character" w:styleId="NumeroelencoCarattere" w:customStyle="1">
    <w:name w:val="Numero elenco Carattere"/>
    <w:link w:val="Numeroelenco"/>
    <w:qFormat/>
    <w:rsid w:val="00522a93"/>
    <w:rPr>
      <w:rFonts w:ascii="Trebuchet MS" w:hAnsi="Trebuchet MS" w:eastAsia="Times New Roman" w:cs="Times New Roman"/>
      <w:kern w:val="2"/>
      <w:sz w:val="20"/>
      <w:szCs w:val="24"/>
      <w:lang w:eastAsia="it-IT"/>
    </w:rPr>
  </w:style>
  <w:style w:type="character" w:styleId="IntestazioneCarattere" w:customStyle="1">
    <w:name w:val="Intestazione Carattere"/>
    <w:basedOn w:val="DefaultParagraphFont"/>
    <w:link w:val="Intestazione"/>
    <w:uiPriority w:val="99"/>
    <w:qFormat/>
    <w:rsid w:val="00003f30"/>
    <w:rPr/>
  </w:style>
  <w:style w:type="character" w:styleId="PidipaginaCarattere" w:customStyle="1">
    <w:name w:val="Piè di pagina Carattere"/>
    <w:basedOn w:val="DefaultParagraphFont"/>
    <w:link w:val="Pidipagina"/>
    <w:uiPriority w:val="99"/>
    <w:qFormat/>
    <w:rsid w:val="00003f30"/>
    <w:rPr/>
  </w:style>
  <w:style w:type="character" w:styleId="Caratterinotaapidipagina" w:customStyle="1">
    <w:name w:val="Caratteri nota a piè di pagina"/>
    <w:qFormat/>
    <w:rPr/>
  </w:style>
  <w:style w:type="character" w:styleId="Numerazionerighe" w:customStyle="1">
    <w:name w:val="Numerazione righe"/>
    <w:rPr/>
  </w:style>
  <w:style w:type="character" w:styleId="Richiamoallanotadichiusura" w:customStyle="1">
    <w:name w:val="Richiamo alla nota di chiusura"/>
    <w:rPr>
      <w:vertAlign w:val="superscript"/>
    </w:rPr>
  </w:style>
  <w:style w:type="character" w:styleId="Caratterinotadichiusura" w:customStyle="1">
    <w:name w:val="Caratteri nota di chiusura"/>
    <w:qFormat/>
    <w:rPr/>
  </w:style>
  <w:style w:type="character" w:styleId="Hyperlink5" w:customStyle="1">
    <w:name w:val="Hyperlink.5"/>
    <w:qFormat/>
    <w:rsid w:val="00830577"/>
    <w:rPr/>
  </w:style>
  <w:style w:type="character" w:styleId="CollegamentoInternet">
    <w:name w:val="Collegamento Internet"/>
    <w:basedOn w:val="DefaultParagraphFont"/>
    <w:uiPriority w:val="99"/>
    <w:unhideWhenUsed/>
    <w:rsid w:val="00723928"/>
    <w:rPr>
      <w:color w:val="0563C1" w:themeColor="hyperlink"/>
      <w:u w:val="single"/>
    </w:rPr>
  </w:style>
  <w:style w:type="character" w:styleId="Strong">
    <w:name w:val="Strong"/>
    <w:basedOn w:val="DefaultParagraphFont"/>
    <w:uiPriority w:val="22"/>
    <w:qFormat/>
    <w:rsid w:val="00022da3"/>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rPr>
  </w:style>
  <w:style w:type="paragraph" w:styleId="Notaapidipagina">
    <w:name w:val="Footnote Text"/>
    <w:basedOn w:val="Normal"/>
    <w:link w:val="TestonotaapidipaginaCarattere"/>
    <w:uiPriority w:val="99"/>
    <w:semiHidden/>
    <w:unhideWhenUsed/>
    <w:rsid w:val="00581b85"/>
    <w:pPr/>
    <w:rPr>
      <w:sz w:val="20"/>
      <w:szCs w:val="20"/>
    </w:rPr>
  </w:style>
  <w:style w:type="paragraph" w:styleId="ListParagraph">
    <w:name w:val="List Paragraph"/>
    <w:basedOn w:val="Normal"/>
    <w:uiPriority w:val="34"/>
    <w:qFormat/>
    <w:rsid w:val="00f77ed5"/>
    <w:pPr>
      <w:spacing w:before="0" w:after="0"/>
      <w:ind w:left="720" w:hanging="0"/>
      <w:contextualSpacing/>
    </w:pPr>
    <w:rPr/>
  </w:style>
  <w:style w:type="paragraph" w:styleId="Annotationtext">
    <w:name w:val="annotation text"/>
    <w:basedOn w:val="Normal"/>
    <w:link w:val="TestocommentoCarattere"/>
    <w:uiPriority w:val="99"/>
    <w:unhideWhenUsed/>
    <w:qFormat/>
    <w:rsid w:val="00a94bd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a94bd0"/>
    <w:pPr/>
    <w:rPr>
      <w:b/>
      <w:bCs/>
    </w:rPr>
  </w:style>
  <w:style w:type="paragraph" w:styleId="BalloonText">
    <w:name w:val="Balloon Text"/>
    <w:basedOn w:val="Normal"/>
    <w:link w:val="TestofumettoCarattere"/>
    <w:uiPriority w:val="99"/>
    <w:semiHidden/>
    <w:unhideWhenUsed/>
    <w:qFormat/>
    <w:rsid w:val="00a94bd0"/>
    <w:pPr/>
    <w:rPr>
      <w:rFonts w:ascii="Segoe UI" w:hAnsi="Segoe UI" w:cs="Segoe UI"/>
      <w:sz w:val="18"/>
      <w:szCs w:val="18"/>
    </w:rPr>
  </w:style>
  <w:style w:type="paragraph" w:styleId="Revision">
    <w:name w:val="Revision"/>
    <w:uiPriority w:val="99"/>
    <w:semiHidden/>
    <w:qFormat/>
    <w:rsid w:val="00011f9e"/>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2"/>
      <w:lang w:val="it-IT" w:eastAsia="en-US" w:bidi="ar-SA"/>
    </w:rPr>
  </w:style>
  <w:style w:type="paragraph" w:styleId="ListNumber">
    <w:name w:val="List Number"/>
    <w:basedOn w:val="Normal"/>
    <w:link w:val="NumeroelencoCarattere"/>
    <w:qFormat/>
    <w:rsid w:val="00522a93"/>
    <w:pPr>
      <w:widowControl w:val="false"/>
      <w:spacing w:lineRule="exact" w:line="300"/>
      <w:jc w:val="both"/>
    </w:pPr>
    <w:rPr>
      <w:rFonts w:ascii="Trebuchet MS" w:hAnsi="Trebuchet MS"/>
      <w:kern w:val="2"/>
      <w:sz w:val="20"/>
    </w:rPr>
  </w:style>
  <w:style w:type="paragraph" w:styleId="Intestazioneepidipagina" w:customStyle="1">
    <w:name w:val="Intestazione e piè di pagina"/>
    <w:basedOn w:val="Normal"/>
    <w:qFormat/>
    <w:pPr/>
    <w:rPr/>
  </w:style>
  <w:style w:type="paragraph" w:styleId="Intestazione">
    <w:name w:val="Header"/>
    <w:basedOn w:val="Normal"/>
    <w:link w:val="IntestazioneCarattere"/>
    <w:uiPriority w:val="99"/>
    <w:unhideWhenUsed/>
    <w:rsid w:val="00003f30"/>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003f30"/>
    <w:pPr>
      <w:tabs>
        <w:tab w:val="clear" w:pos="708"/>
        <w:tab w:val="center" w:pos="4819" w:leader="none"/>
        <w:tab w:val="right" w:pos="9638" w:leader="none"/>
      </w:tabs>
    </w:pPr>
    <w:rPr/>
  </w:style>
  <w:style w:type="paragraph" w:styleId="Default" w:customStyle="1">
    <w:name w:val="Default"/>
    <w:qFormat/>
    <w:rsid w:val="00830577"/>
    <w:pPr>
      <w:widowControl/>
      <w:suppressAutoHyphens w:val="true"/>
      <w:bidi w:val="0"/>
      <w:spacing w:before="0" w:after="0"/>
      <w:jc w:val="left"/>
    </w:pPr>
    <w:rPr>
      <w:rFonts w:ascii="Calibri" w:hAnsi="Calibri" w:eastAsia="Calibri" w:cs="Calibri"/>
      <w:color w:val="000000"/>
      <w:kern w:val="0"/>
      <w:sz w:val="24"/>
      <w:szCs w:val="24"/>
      <w:lang w:val="it-IT" w:eastAsia="en-US" w:bidi="ar-SA"/>
    </w:rPr>
  </w:style>
  <w:style w:type="paragraph" w:styleId="Standard" w:customStyle="1">
    <w:name w:val="Standard"/>
    <w:qFormat/>
    <w:rsid w:val="00830577"/>
    <w:pPr>
      <w:widowControl/>
      <w:suppressAutoHyphens w:val="false"/>
      <w:bidi w:val="0"/>
      <w:spacing w:before="0" w:after="0"/>
      <w:jc w:val="left"/>
    </w:pPr>
    <w:rPr>
      <w:rFonts w:ascii="Times New Roman" w:hAnsi="Times New Roman" w:eastAsia="Arial Unicode MS" w:cs="Arial Unicode MS"/>
      <w:color w:val="000000"/>
      <w:kern w:val="2"/>
      <w:sz w:val="24"/>
      <w:szCs w:val="24"/>
      <w:u w:val="none" w:color="000000"/>
      <w:lang w:val="it-IT" w:eastAsia="it-IT" w:bidi="ar-SA"/>
    </w:rPr>
  </w:style>
  <w:style w:type="paragraph" w:styleId="NormalWeb">
    <w:name w:val="Normal (Web)"/>
    <w:basedOn w:val="Normal"/>
    <w:uiPriority w:val="99"/>
    <w:unhideWhenUsed/>
    <w:qFormat/>
    <w:rsid w:val="00a41823"/>
    <w:pPr>
      <w:spacing w:beforeAutospacing="1" w:afterAutospacing="1"/>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2831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rsid w:val="00830577"/>
    <w:rPr>
      <w:lang w:eastAsia="it-IT"/>
      <w:sz w:val="20"/>
      <w:szCs w:val="20"/>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Application>LibreOffice/6.4.7.2$Windows_X86_64 LibreOffice_project/639b8ac485750d5696d7590a72ef1b496725cfb5</Application>
  <Pages>4</Pages>
  <Words>1017</Words>
  <Characters>6152</Characters>
  <CharactersWithSpaces>7089</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2024-12-16T10:43:00Z</dcterms:created>
  <dc:creator>Labbadia Alessia</dc:creator>
  <dc:description/>
  <dc:language>it-IT</dc:language>
  <cp:lastModifiedBy/>
  <cp:lastPrinted>2023-12-13T08:59:00Z</cp:lastPrinted>
  <dcterms:modified xsi:type="dcterms:W3CDTF">2024-12-18T16:07:51Z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